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BD60C" w14:textId="77777777" w:rsidR="008B5012" w:rsidRDefault="008B5012" w:rsidP="00657AC5">
      <w:pPr>
        <w:pStyle w:val="Heading1"/>
      </w:pPr>
      <w:r>
        <w:t>Introduction</w:t>
      </w:r>
    </w:p>
    <w:p w14:paraId="0FB486E6" w14:textId="5A29A37E" w:rsidR="008B5012" w:rsidRDefault="008F72AC" w:rsidP="008B5012">
      <w:r>
        <w:rPr>
          <w:rFonts w:cs="Arial"/>
        </w:rPr>
        <w:t>Home Counties Community Media (HCCM)</w:t>
      </w:r>
      <w:r w:rsidRPr="00250123">
        <w:rPr>
          <w:rFonts w:cs="Arial"/>
        </w:rPr>
        <w:t xml:space="preserve"> </w:t>
      </w:r>
      <w:r w:rsidR="008B5012">
        <w:t xml:space="preserve">is committed to ensuring that </w:t>
      </w:r>
      <w:r w:rsidR="002804AD">
        <w:t xml:space="preserve">adults at risk </w:t>
      </w:r>
      <w:r w:rsidR="008B5012">
        <w:t xml:space="preserve">who use our services are not abused and that working practices minimise the risk of </w:t>
      </w:r>
      <w:r w:rsidR="002804AD">
        <w:t>s</w:t>
      </w:r>
      <w:r w:rsidR="008B5012">
        <w:t xml:space="preserve">uch abuse. All staff and trustees of </w:t>
      </w:r>
      <w:r>
        <w:t>HCCM</w:t>
      </w:r>
      <w:r w:rsidR="008B5012">
        <w:t xml:space="preserve"> have a duty to identify abuse and report it.</w:t>
      </w:r>
      <w:r w:rsidR="00BE0AD2">
        <w:t xml:space="preserve">  The government’s PREVENT strategy (see below) also requires us to report any instances of radicalisation and/or extremism.</w:t>
      </w:r>
    </w:p>
    <w:p w14:paraId="0F4C8FF4" w14:textId="5225AF3F" w:rsidR="008B5012" w:rsidRDefault="008B5012" w:rsidP="00657AC5">
      <w:pPr>
        <w:pStyle w:val="Heading1"/>
      </w:pPr>
      <w:r>
        <w:t>Definition</w:t>
      </w:r>
      <w:r w:rsidR="002804AD">
        <w:t>s</w:t>
      </w:r>
    </w:p>
    <w:p w14:paraId="655DF5EB" w14:textId="357CB0AD" w:rsidR="002804AD" w:rsidRDefault="002804AD" w:rsidP="008B5012">
      <w:r w:rsidRPr="00B45A8B">
        <w:rPr>
          <w:b/>
        </w:rPr>
        <w:t xml:space="preserve">An </w:t>
      </w:r>
      <w:r w:rsidRPr="002804AD">
        <w:rPr>
          <w:b/>
        </w:rPr>
        <w:t>a</w:t>
      </w:r>
      <w:r w:rsidR="008B5012" w:rsidRPr="00B45A8B">
        <w:rPr>
          <w:b/>
        </w:rPr>
        <w:t>dult</w:t>
      </w:r>
      <w:r w:rsidRPr="00B45A8B">
        <w:rPr>
          <w:b/>
        </w:rPr>
        <w:t xml:space="preserve"> at risk</w:t>
      </w:r>
      <w:r w:rsidR="008B5012">
        <w:t xml:space="preserve"> </w:t>
      </w:r>
      <w:r>
        <w:t xml:space="preserve">is a person aged 18 years and over who is or may be in need of community services by reason of mental or other disability, age or illness; and who is or may be unable to take care of him or herself, or is unable to protect him or herself against significant harm or exploitation. It may also include adults who are vulnerable for some other reason, e.g. caring responsibilities, special educational needs, or who suffered abuse or trauma. </w:t>
      </w:r>
    </w:p>
    <w:p w14:paraId="59768A98" w14:textId="0B92AC5A" w:rsidR="008B5012" w:rsidRDefault="002804AD" w:rsidP="008B5012">
      <w:r w:rsidRPr="002804AD">
        <w:rPr>
          <w:b/>
        </w:rPr>
        <w:t>Abuse</w:t>
      </w:r>
      <w:r>
        <w:t xml:space="preserve"> is a violation of an individual’s human and civil rights by any other person or persons. This may consist of a single or repeated act of abuse which may be</w:t>
      </w:r>
      <w:r w:rsidR="008B5012">
        <w:t xml:space="preserve">: </w:t>
      </w:r>
    </w:p>
    <w:p w14:paraId="33AFDF4F" w14:textId="0C993A0B" w:rsidR="008B5012" w:rsidRDefault="008B5012" w:rsidP="008B5012">
      <w:pPr>
        <w:pStyle w:val="ListParagraph"/>
      </w:pPr>
      <w:r>
        <w:t>physical</w:t>
      </w:r>
    </w:p>
    <w:p w14:paraId="0D68A1A8" w14:textId="77777777" w:rsidR="002804AD" w:rsidRDefault="002804AD" w:rsidP="002804AD">
      <w:pPr>
        <w:pStyle w:val="ListParagraph"/>
      </w:pPr>
      <w:r>
        <w:t>sexual</w:t>
      </w:r>
    </w:p>
    <w:p w14:paraId="2E274121" w14:textId="336ECB9F" w:rsidR="002804AD" w:rsidRDefault="002804AD" w:rsidP="002804AD">
      <w:pPr>
        <w:pStyle w:val="ListParagraph"/>
      </w:pPr>
      <w:r>
        <w:t>psychological, including emotional abuse and radicalisation</w:t>
      </w:r>
    </w:p>
    <w:p w14:paraId="7D16975D" w14:textId="26D844DB" w:rsidR="008B5012" w:rsidRDefault="002804AD" w:rsidP="002804AD">
      <w:pPr>
        <w:pStyle w:val="ListParagraph"/>
      </w:pPr>
      <w:r>
        <w:t>financial or material</w:t>
      </w:r>
    </w:p>
    <w:p w14:paraId="28A9E98D" w14:textId="2AB8F9A9" w:rsidR="008B5012" w:rsidRDefault="008B5012" w:rsidP="008B5012">
      <w:pPr>
        <w:pStyle w:val="ListParagraph"/>
      </w:pPr>
      <w:r>
        <w:t>discriminatory</w:t>
      </w:r>
    </w:p>
    <w:p w14:paraId="36F0F92B" w14:textId="7776D9FA" w:rsidR="008B5012" w:rsidRDefault="008B5012" w:rsidP="008B5012">
      <w:pPr>
        <w:pStyle w:val="ListParagraph"/>
      </w:pPr>
      <w:r>
        <w:t>neglect</w:t>
      </w:r>
      <w:r w:rsidR="002804AD">
        <w:t xml:space="preserve"> and acts of omission</w:t>
      </w:r>
    </w:p>
    <w:p w14:paraId="32984B8C" w14:textId="66B26BD1" w:rsidR="002804AD" w:rsidRDefault="002804AD" w:rsidP="008B5012">
      <w:pPr>
        <w:pStyle w:val="ListParagraph"/>
      </w:pPr>
      <w:r>
        <w:t>institutional</w:t>
      </w:r>
    </w:p>
    <w:p w14:paraId="1CC1C947" w14:textId="77777777" w:rsidR="008B5012" w:rsidRDefault="008B5012" w:rsidP="008B5012">
      <w:r>
        <w:t>Abuse can take place in any setting, public or private, and can be perpetuated by anyone.</w:t>
      </w:r>
    </w:p>
    <w:p w14:paraId="44662D73" w14:textId="742DB71E" w:rsidR="002804AD" w:rsidRDefault="002804AD" w:rsidP="008B5012">
      <w:r w:rsidRPr="00BB3D3F">
        <w:rPr>
          <w:b/>
        </w:rPr>
        <w:t>Radicalisation</w:t>
      </w:r>
      <w:r>
        <w:t xml:space="preserve"> is the process by which a person comes to support terrorism and forms of extremism. It can happen in many different ways and settings.</w:t>
      </w:r>
    </w:p>
    <w:p w14:paraId="6195EEC6" w14:textId="6FE55CD7" w:rsidR="002804AD" w:rsidRDefault="002804AD" w:rsidP="008B5012">
      <w:r w:rsidRPr="00BB3D3F">
        <w:rPr>
          <w:b/>
        </w:rPr>
        <w:t>Extremism</w:t>
      </w:r>
      <w:r>
        <w:t xml:space="preserve"> is vocal or active opposition to fundamental British values, including democracy, the rule of law, individual liberty and mutual respect and tolerance of different faiths and beliefs.</w:t>
      </w:r>
    </w:p>
    <w:p w14:paraId="0AC77E09" w14:textId="77777777" w:rsidR="008B5012" w:rsidRDefault="008B5012" w:rsidP="00657AC5">
      <w:pPr>
        <w:pStyle w:val="Heading1"/>
      </w:pPr>
      <w:r>
        <w:t>Statement of Policy</w:t>
      </w:r>
    </w:p>
    <w:p w14:paraId="0B04924E" w14:textId="07500246" w:rsidR="008B5012" w:rsidRDefault="008B5012" w:rsidP="008B5012">
      <w:r>
        <w:t xml:space="preserve">It is the policy of </w:t>
      </w:r>
      <w:r w:rsidR="008F72AC">
        <w:t>HCCM</w:t>
      </w:r>
      <w:r>
        <w:t xml:space="preserve"> to value individual rights to freedom from abuse</w:t>
      </w:r>
      <w:r w:rsidR="009D2ADB">
        <w:t>,</w:t>
      </w:r>
      <w:r>
        <w:t xml:space="preserve"> harm </w:t>
      </w:r>
      <w:r w:rsidR="009D2ADB">
        <w:t xml:space="preserve">and exploitation </w:t>
      </w:r>
      <w:r>
        <w:t>in all of its activities whether as members of staff, staff of its partners or participants enrolled on programmes which it has commissioned or for which the Partnership is responsible.</w:t>
      </w:r>
    </w:p>
    <w:p w14:paraId="223AE7CD" w14:textId="2B396EEC" w:rsidR="008B5012" w:rsidRDefault="008F72AC" w:rsidP="008B5012">
      <w:r>
        <w:t xml:space="preserve">HCCM </w:t>
      </w:r>
      <w:r w:rsidR="008B5012">
        <w:t>is committed to safeguarding and promoting the welfare of adults</w:t>
      </w:r>
      <w:r w:rsidR="009D2ADB">
        <w:t xml:space="preserve"> at risk</w:t>
      </w:r>
      <w:r w:rsidR="008B5012">
        <w:t>, and recognises its role in identifying cases of suspected abuse and making referrals to the appropriate investigating agency (</w:t>
      </w:r>
      <w:r w:rsidR="009D2ADB">
        <w:t>local authority adult services</w:t>
      </w:r>
      <w:r w:rsidR="00610906">
        <w:t xml:space="preserve"> and</w:t>
      </w:r>
      <w:r w:rsidR="00657AC5">
        <w:t xml:space="preserve"> </w:t>
      </w:r>
      <w:r w:rsidR="00610906">
        <w:t>/</w:t>
      </w:r>
      <w:r w:rsidR="00657AC5">
        <w:t xml:space="preserve"> </w:t>
      </w:r>
      <w:r w:rsidR="00610906">
        <w:t>or</w:t>
      </w:r>
      <w:r w:rsidR="008B5012">
        <w:t xml:space="preserve"> the police).</w:t>
      </w:r>
    </w:p>
    <w:p w14:paraId="1DE181E6" w14:textId="11CF051C" w:rsidR="008B5012" w:rsidRDefault="008F72AC" w:rsidP="008B5012">
      <w:r>
        <w:t xml:space="preserve">HCCM </w:t>
      </w:r>
      <w:r w:rsidR="008B5012">
        <w:t>reserves the right to refuse admission to any of its provision to a person who may pose a threat to adults</w:t>
      </w:r>
      <w:r w:rsidR="009D2ADB">
        <w:t xml:space="preserve"> at risk</w:t>
      </w:r>
      <w:r w:rsidR="008B5012">
        <w:t>. It further reserves the right to require a partner to remove any individual found to be in breach of this policy to safeguard vulnerable adults from the threat of abuse.</w:t>
      </w:r>
    </w:p>
    <w:p w14:paraId="48DB76B8" w14:textId="50547082" w:rsidR="008B5012" w:rsidRDefault="008B5012" w:rsidP="008B5012">
      <w:r>
        <w:lastRenderedPageBreak/>
        <w:t>We will require partners to verify that staff involved in projects have been DBS checked, where relevant, and reserve the right to veto any staff who have not been checked or who have convictions which bring into question their suitability to work with adults</w:t>
      </w:r>
      <w:r w:rsidR="009D2ADB">
        <w:t xml:space="preserve"> at risk</w:t>
      </w:r>
      <w:r>
        <w:t>.</w:t>
      </w:r>
    </w:p>
    <w:p w14:paraId="2666431E" w14:textId="77777777" w:rsidR="008B5012" w:rsidRDefault="008B5012" w:rsidP="008B5012">
      <w:r>
        <w:t>These requirements will be set out in service level agreements and their acknowledgement will be a condition of contract for all delivery partners.</w:t>
      </w:r>
    </w:p>
    <w:p w14:paraId="23119C52" w14:textId="77777777" w:rsidR="008B5012" w:rsidRDefault="008B5012" w:rsidP="008B5012">
      <w:pPr>
        <w:pStyle w:val="Heading2"/>
      </w:pPr>
      <w:r>
        <w:t>Anti-terrorism and Preventing Radicalisation</w:t>
      </w:r>
    </w:p>
    <w:p w14:paraId="19CEB84E" w14:textId="77777777" w:rsidR="008B5012" w:rsidRDefault="008B5012" w:rsidP="008B5012">
      <w:r>
        <w:t>The Prevent strategy, published by the Government in 2011, is part of the overall counter-terrorism strategy, CONTEST.  The aim of the Prevent strategy is to reduce the threat to the UK from terrorism by stopping people becoming terrorists or supporting terrorism.</w:t>
      </w:r>
    </w:p>
    <w:p w14:paraId="3A3F737A" w14:textId="694D5B22" w:rsidR="008B5012" w:rsidRDefault="008B5012" w:rsidP="008B5012">
      <w:r>
        <w:t xml:space="preserve">The 2011 Prevent strategy has three specific strategic </w:t>
      </w:r>
      <w:r w:rsidR="008D38BA">
        <w:t>objectives:</w:t>
      </w:r>
    </w:p>
    <w:p w14:paraId="752C5B4E" w14:textId="27BEA95F" w:rsidR="008B5012" w:rsidRDefault="008B5012" w:rsidP="008B5012">
      <w:pPr>
        <w:pStyle w:val="ListParagraph"/>
      </w:pPr>
      <w:r>
        <w:t>Respond to the ideological challenge of terrorism and the threat we face from those who promote it.</w:t>
      </w:r>
    </w:p>
    <w:p w14:paraId="41B7B6D9" w14:textId="50FD6797" w:rsidR="008B5012" w:rsidRDefault="008B5012" w:rsidP="008B5012">
      <w:pPr>
        <w:pStyle w:val="ListParagraph"/>
      </w:pPr>
      <w:r>
        <w:t xml:space="preserve">Prevent people from being drawn into terrorism and ensure that they are given appropriate advice and support, and </w:t>
      </w:r>
    </w:p>
    <w:p w14:paraId="3FEE71E2" w14:textId="43C545B1" w:rsidR="008B5012" w:rsidRDefault="008B5012" w:rsidP="008B5012">
      <w:pPr>
        <w:pStyle w:val="ListParagraph"/>
      </w:pPr>
      <w:r>
        <w:t>Work with sectors and institutions where there are risks of radicalisation that we need to address.</w:t>
      </w:r>
    </w:p>
    <w:p w14:paraId="41C393C4" w14:textId="5CE1E60A" w:rsidR="008B5012" w:rsidRDefault="008B5012" w:rsidP="00657AC5">
      <w:pPr>
        <w:pStyle w:val="Heading1"/>
      </w:pPr>
      <w:r>
        <w:t>Staff Training and Support</w:t>
      </w:r>
    </w:p>
    <w:p w14:paraId="37F541A6" w14:textId="4AF29548" w:rsidR="008B5012" w:rsidRDefault="008B5012" w:rsidP="008B5012">
      <w:r>
        <w:t xml:space="preserve">All staff employed </w:t>
      </w:r>
      <w:r w:rsidR="008F72AC">
        <w:t>&amp; volunteers of</w:t>
      </w:r>
      <w:r>
        <w:t xml:space="preserve"> </w:t>
      </w:r>
      <w:r w:rsidR="008F72AC">
        <w:t xml:space="preserve">HCCM </w:t>
      </w:r>
      <w:r>
        <w:t xml:space="preserve">will be made aware of their responsibilities through team meetings to ensure they understand </w:t>
      </w:r>
      <w:r w:rsidR="008F72AC">
        <w:t xml:space="preserve">HCCM </w:t>
      </w:r>
      <w:r>
        <w:t>policies and procedures surrounding safeguarding adults</w:t>
      </w:r>
      <w:r w:rsidR="009D2ADB">
        <w:t xml:space="preserve"> at risk</w:t>
      </w:r>
      <w:r>
        <w:t xml:space="preserve"> and all </w:t>
      </w:r>
      <w:r w:rsidR="008F72AC">
        <w:t xml:space="preserve">relevant </w:t>
      </w:r>
      <w:r>
        <w:t xml:space="preserve">staff </w:t>
      </w:r>
      <w:r w:rsidR="008F72AC">
        <w:t xml:space="preserve">&amp; volunteers </w:t>
      </w:r>
      <w:r>
        <w:t>will undergo Prevent training.</w:t>
      </w:r>
    </w:p>
    <w:p w14:paraId="715AF2E1" w14:textId="5755B9E8" w:rsidR="008B5012" w:rsidRDefault="008B5012" w:rsidP="008B5012">
      <w:r>
        <w:t xml:space="preserve">All will sign a declaration to confirm that they have read the policy which will be held on file and will possess an up to date Enhanced DBS disclosure check.  </w:t>
      </w:r>
    </w:p>
    <w:p w14:paraId="5AE84512" w14:textId="77256855" w:rsidR="008B5012" w:rsidRDefault="008B5012" w:rsidP="008B5012">
      <w:r>
        <w:t xml:space="preserve">All </w:t>
      </w:r>
      <w:r w:rsidR="00B5791B">
        <w:t>participants/learners w</w:t>
      </w:r>
      <w:r>
        <w:t xml:space="preserve">ill at induction be made aware of their rights and freedom from abuse as part of the </w:t>
      </w:r>
      <w:r w:rsidR="00DB3428">
        <w:t>national ‘</w:t>
      </w:r>
      <w:r>
        <w:t xml:space="preserve">respect for all </w:t>
      </w:r>
      <w:r w:rsidR="00DB3428">
        <w:t>‘</w:t>
      </w:r>
      <w:r>
        <w:t xml:space="preserve">agenda. They will be made aware </w:t>
      </w:r>
      <w:r w:rsidR="00DB3428">
        <w:t>of the process that</w:t>
      </w:r>
      <w:r>
        <w:t xml:space="preserve"> is available to them for raising any concerns about alleged abuse of adults</w:t>
      </w:r>
      <w:r w:rsidR="009D2ADB">
        <w:t xml:space="preserve"> at risk</w:t>
      </w:r>
      <w:r>
        <w:t>.</w:t>
      </w:r>
    </w:p>
    <w:p w14:paraId="6B62C7BD" w14:textId="08AF8F4A" w:rsidR="00DB3428" w:rsidRDefault="00DB3428" w:rsidP="00DB3428">
      <w:pPr>
        <w:pStyle w:val="Heading2"/>
      </w:pPr>
      <w:r>
        <w:t xml:space="preserve">Allegations </w:t>
      </w:r>
      <w:r w:rsidR="00657AC5">
        <w:t>against</w:t>
      </w:r>
      <w:r>
        <w:t xml:space="preserve"> Staff</w:t>
      </w:r>
      <w:r w:rsidR="008F72AC">
        <w:t xml:space="preserve"> or Volunteers</w:t>
      </w:r>
    </w:p>
    <w:p w14:paraId="50158D35" w14:textId="3B9F3CD1" w:rsidR="00DB3428" w:rsidRDefault="00DB3428" w:rsidP="00DB3428">
      <w:r>
        <w:t>Where an allegation of abuse is made against a member of staff</w:t>
      </w:r>
      <w:r w:rsidR="008F72AC">
        <w:t xml:space="preserve"> or a volunteer</w:t>
      </w:r>
      <w:r>
        <w:t xml:space="preserve">, the relevant disciplinary procedures may be invoked as well as reporting the case to the appropriate authorities. Any such allegation should be reported to the </w:t>
      </w:r>
      <w:r w:rsidR="008F72AC">
        <w:t>managing director</w:t>
      </w:r>
      <w:r>
        <w:t xml:space="preserve"> who will inform the appropriate statutory agency.</w:t>
      </w:r>
    </w:p>
    <w:p w14:paraId="65D70152" w14:textId="66ECE5EE" w:rsidR="00DB3428" w:rsidRDefault="00DB3428" w:rsidP="00DB3428">
      <w:r>
        <w:t>All allegations will be investigated internally and disciplinary action taken, where appropriate.</w:t>
      </w:r>
      <w:r w:rsidR="005D4BCB">
        <w:t xml:space="preserve">  See attached procedure and report form.</w:t>
      </w:r>
    </w:p>
    <w:p w14:paraId="5452A2DB" w14:textId="5A2E0215" w:rsidR="00E377BD" w:rsidRDefault="00E377BD" w:rsidP="00657AC5">
      <w:pPr>
        <w:pStyle w:val="Heading1"/>
      </w:pPr>
      <w:r>
        <w:t>Information Storage / Use / Retention</w:t>
      </w:r>
    </w:p>
    <w:p w14:paraId="1802FF71" w14:textId="2C06240A" w:rsidR="008B5012" w:rsidRPr="00E377BD" w:rsidRDefault="008B5012" w:rsidP="00E377BD">
      <w:r w:rsidRPr="00E377BD">
        <w:t>Secure storage, handling, use, retention and disposal of Disclosures &amp; Disclosure information Statement</w:t>
      </w:r>
    </w:p>
    <w:p w14:paraId="308D6FAD" w14:textId="3D2D5052" w:rsidR="008B5012" w:rsidRDefault="008B5012" w:rsidP="00657AC5">
      <w:pPr>
        <w:pStyle w:val="Heading2"/>
      </w:pPr>
      <w:r>
        <w:t xml:space="preserve">General </w:t>
      </w:r>
      <w:r w:rsidR="00657AC5">
        <w:t>Principles</w:t>
      </w:r>
    </w:p>
    <w:p w14:paraId="13D1F201" w14:textId="15A39E5A" w:rsidR="00E377BD" w:rsidRDefault="008B5012" w:rsidP="008B5012">
      <w:r>
        <w:t xml:space="preserve">As an organisation using the DBS Disclosure service to help assess the suitability of applicants for positions of trust, </w:t>
      </w:r>
      <w:r w:rsidR="008F72AC">
        <w:t>HCCM</w:t>
      </w:r>
      <w:r>
        <w:t xml:space="preserve"> complies fully with the DBS Code of Practice </w:t>
      </w:r>
      <w:r>
        <w:lastRenderedPageBreak/>
        <w:t>regarding the correct handling, use, storage, retention and disposal of Disclosures and Disclosure information.</w:t>
      </w:r>
    </w:p>
    <w:p w14:paraId="3D020FF2" w14:textId="76048FF6" w:rsidR="008B5012" w:rsidRDefault="008B5012" w:rsidP="008B5012">
      <w:r>
        <w:t>It also complies fully with its obligations of Disclosure and Disclosure information and with its obligations under the Data Protection Act and other relevant legislation pertaining to the safe handling, use, storage, retention and disposal of Disclosure information.  To this end it has a written policy on these matters, which is available to those who wish to see it on request.</w:t>
      </w:r>
    </w:p>
    <w:p w14:paraId="63FFE246" w14:textId="52CEADFD" w:rsidR="008B5012" w:rsidRDefault="008B5012" w:rsidP="00657AC5">
      <w:pPr>
        <w:pStyle w:val="Heading2"/>
      </w:pPr>
      <w:r>
        <w:t xml:space="preserve">Storage </w:t>
      </w:r>
      <w:r w:rsidR="00657AC5">
        <w:t>and</w:t>
      </w:r>
      <w:r>
        <w:t xml:space="preserve"> Access</w:t>
      </w:r>
    </w:p>
    <w:p w14:paraId="6A9881AD" w14:textId="77777777" w:rsidR="008B5012" w:rsidRDefault="008B5012" w:rsidP="008B5012">
      <w:r>
        <w:t>Disclosure information is never kept on an applicant’s personnel file and is always kept separately and securely, in lockable, non-portable, storage containers.  Access to these is strictly controlled and limited to those who are entitled to see it as part of their duties.</w:t>
      </w:r>
    </w:p>
    <w:p w14:paraId="44DD031B" w14:textId="77777777" w:rsidR="008B5012" w:rsidRDefault="008B5012" w:rsidP="00657AC5">
      <w:pPr>
        <w:pStyle w:val="Heading2"/>
      </w:pPr>
      <w:r>
        <w:t>Handling</w:t>
      </w:r>
    </w:p>
    <w:p w14:paraId="6DCCF65A" w14:textId="4BF46E0D" w:rsidR="008B5012" w:rsidRDefault="008B5012" w:rsidP="008B5012">
      <w:r>
        <w:t xml:space="preserve">In accordance with section 124 of the Police Act 1997, Disclosure information is only passed to those who are authorised to receive it in the course of their duties. </w:t>
      </w:r>
      <w:proofErr w:type="gramStart"/>
      <w:r w:rsidR="008F72AC">
        <w:t xml:space="preserve">HCCM </w:t>
      </w:r>
      <w:r>
        <w:t xml:space="preserve"> maintains</w:t>
      </w:r>
      <w:proofErr w:type="gramEnd"/>
      <w:r>
        <w:t xml:space="preserve"> a record of all those to whom Disclosures or Disclosure information has been revealed and recognises that it is a criminal offence to pass this information to anyone who is not entitled to receive it.</w:t>
      </w:r>
    </w:p>
    <w:p w14:paraId="710CBA8B" w14:textId="77777777" w:rsidR="008B5012" w:rsidRDefault="008B5012" w:rsidP="00657AC5">
      <w:pPr>
        <w:pStyle w:val="Heading2"/>
      </w:pPr>
      <w:r>
        <w:t>Usage</w:t>
      </w:r>
    </w:p>
    <w:p w14:paraId="105D49A1" w14:textId="77777777" w:rsidR="008B5012" w:rsidRDefault="008B5012" w:rsidP="008B5012">
      <w:r>
        <w:t>Disclosure information is only used for the specific purpose for which it was requested and for which the applicant’s full consent has been given.</w:t>
      </w:r>
    </w:p>
    <w:p w14:paraId="004D10DF" w14:textId="77777777" w:rsidR="008B5012" w:rsidRDefault="008B5012" w:rsidP="00657AC5">
      <w:pPr>
        <w:pStyle w:val="Heading2"/>
      </w:pPr>
      <w:r>
        <w:t>Retention</w:t>
      </w:r>
    </w:p>
    <w:p w14:paraId="2813D178" w14:textId="696AA7DF" w:rsidR="00E377BD" w:rsidRDefault="008B5012" w:rsidP="008B5012">
      <w:r>
        <w:t xml:space="preserve">Once a recruitment (or other relevant) decision has been made, </w:t>
      </w:r>
      <w:r w:rsidR="008F72AC">
        <w:t>HCCM</w:t>
      </w:r>
      <w:r>
        <w:t xml:space="preserve"> does not keep Disclosure information for any longer than is absolutely necessary. This is generally for a period of up to six months, to allow for the consideration and resolution of any disputes or complaints.</w:t>
      </w:r>
    </w:p>
    <w:p w14:paraId="6FB28AC6" w14:textId="0B6CEB2A" w:rsidR="00E377BD" w:rsidRDefault="008B5012" w:rsidP="008B5012">
      <w:r>
        <w:t xml:space="preserve">If, in very exceptional circumstances, it is considered necessary to keep Disclosure information for longer than six months, </w:t>
      </w:r>
      <w:r w:rsidR="008F72AC">
        <w:t>HCCM</w:t>
      </w:r>
      <w:r>
        <w:t xml:space="preserve"> will consult the DBS about this and will give full consideration to the Data Protection and Human Rights individual subject before doing so.</w:t>
      </w:r>
    </w:p>
    <w:p w14:paraId="278CEC64" w14:textId="45873E6A" w:rsidR="008B5012" w:rsidRDefault="008B5012" w:rsidP="008B5012">
      <w:r>
        <w:t>Throughout this time, the usual conditions regarding safe storage and strictly controlled access will prevail.</w:t>
      </w:r>
    </w:p>
    <w:p w14:paraId="4915AD89" w14:textId="77777777" w:rsidR="008B5012" w:rsidRDefault="008B5012" w:rsidP="00657AC5">
      <w:pPr>
        <w:pStyle w:val="Heading2"/>
      </w:pPr>
      <w:r>
        <w:t>Disposal</w:t>
      </w:r>
    </w:p>
    <w:p w14:paraId="70724B43" w14:textId="5C0C2038" w:rsidR="00E377BD" w:rsidRDefault="008B5012" w:rsidP="008B5012">
      <w:r>
        <w:t xml:space="preserve">Once the retention period has elapsed, </w:t>
      </w:r>
      <w:r w:rsidR="008F72AC">
        <w:t>HCCM</w:t>
      </w:r>
      <w:r>
        <w:t xml:space="preserve"> will ensure that any Disclosure information is immediately, suitably destroyed by secure means, i.e. by shredding, pulping or burning.</w:t>
      </w:r>
    </w:p>
    <w:p w14:paraId="3015376A" w14:textId="20D70F2C" w:rsidR="00E377BD" w:rsidRDefault="008B5012" w:rsidP="008B5012">
      <w:r>
        <w:t xml:space="preserve">While awaiting destruction, Disclosure information will not be kept in any insecure receptacle (e.g. waste bin or confidential waste sack). We will </w:t>
      </w:r>
      <w:r w:rsidR="00610906">
        <w:t xml:space="preserve">not </w:t>
      </w:r>
      <w:r>
        <w:t>keep any photocopy or other image of the Disclosure or any copy or representation of the contents of a Disclosure.</w:t>
      </w:r>
    </w:p>
    <w:p w14:paraId="5FAF2A6C" w14:textId="2A79713B" w:rsidR="008B5012" w:rsidRDefault="008B5012" w:rsidP="008B5012">
      <w:r>
        <w:t xml:space="preserve">However, notwithstanding the above, we may keep a record of the date of issue of a Disclosure, the name of the subject, the type of Disclosure requested, the position for </w:t>
      </w:r>
      <w:r w:rsidRPr="00657AC5">
        <w:t>which the Disclosure was requested, the unique reference number of the Disclosure and</w:t>
      </w:r>
      <w:r>
        <w:t xml:space="preserve"> the details of the recruitment decision taken.</w:t>
      </w:r>
    </w:p>
    <w:p w14:paraId="6DFBE0DE" w14:textId="1345BA45" w:rsidR="00AE7AD1" w:rsidRDefault="00AE7AD1" w:rsidP="00AE7AD1">
      <w:pPr>
        <w:pStyle w:val="Heading1"/>
      </w:pPr>
      <w:r>
        <w:lastRenderedPageBreak/>
        <w:t>Procedure</w:t>
      </w:r>
    </w:p>
    <w:p w14:paraId="72EE9F4E" w14:textId="67B3591C" w:rsidR="00AE7AD1" w:rsidRDefault="00AE7AD1" w:rsidP="00AE7AD1">
      <w:r>
        <w:t>Procedure to be followed in the event of an abuse</w:t>
      </w:r>
      <w:r w:rsidR="00BE0AD2">
        <w:t xml:space="preserve"> and/or radicalisation </w:t>
      </w:r>
      <w:r>
        <w:t>allegation.</w:t>
      </w:r>
    </w:p>
    <w:p w14:paraId="7900CA9B" w14:textId="5EEE43FC" w:rsidR="00657AC5" w:rsidRDefault="00AE7AD1" w:rsidP="00AE7AD1">
      <w:pPr>
        <w:rPr>
          <w:b/>
        </w:rPr>
      </w:pPr>
      <w:r>
        <w:t xml:space="preserve">Any member of staff </w:t>
      </w:r>
      <w:r w:rsidR="008F72AC">
        <w:t xml:space="preserve">or volunteer </w:t>
      </w:r>
      <w:r>
        <w:t xml:space="preserve">who has knowledge of, or a suspicion that, </w:t>
      </w:r>
      <w:r w:rsidR="009926C7">
        <w:t xml:space="preserve">the adult at </w:t>
      </w:r>
      <w:proofErr w:type="gramStart"/>
      <w:r w:rsidR="009926C7">
        <w:t>risk</w:t>
      </w:r>
      <w:r>
        <w:t xml:space="preserve">  is</w:t>
      </w:r>
      <w:proofErr w:type="gramEnd"/>
      <w:r>
        <w:t xml:space="preserve"> or has been suffering abuse or is being radicalised must refer their concern to their line manager, or in their absence, directly to the </w:t>
      </w:r>
      <w:r w:rsidR="008F72AC">
        <w:t>managing director</w:t>
      </w:r>
      <w:r w:rsidRPr="005D4BCB">
        <w:rPr>
          <w:b/>
        </w:rPr>
        <w:t>.</w:t>
      </w:r>
    </w:p>
    <w:p w14:paraId="5F3A6DB3" w14:textId="77777777" w:rsidR="008F72AC" w:rsidRDefault="008F72AC" w:rsidP="00AE7AD1">
      <w:pPr>
        <w:rPr>
          <w:b/>
          <w:color w:val="FF0000"/>
        </w:rPr>
      </w:pPr>
    </w:p>
    <w:p w14:paraId="1788DE9E" w14:textId="550C9845" w:rsidR="00AE7AD1" w:rsidRDefault="00AE7AD1" w:rsidP="00AE7AD1">
      <w:r>
        <w:t xml:space="preserve">All allegations or suspicions of abuse or radicalisation must be taken seriously. The adult at risk must be advised that the information cannot be kept confidential and will be passed on to a senior manager in the first instance, whether or not he or she wishes to make a formal complaint. </w:t>
      </w:r>
      <w:r w:rsidR="009926C7">
        <w:t>I</w:t>
      </w:r>
      <w:r>
        <w:t>n all cases,</w:t>
      </w:r>
      <w:r w:rsidR="009926C7">
        <w:t xml:space="preserve"> the adult at risk</w:t>
      </w:r>
      <w:r>
        <w:t xml:space="preserve"> should be encouraged to report the matter formally.</w:t>
      </w:r>
    </w:p>
    <w:p w14:paraId="07E47B53" w14:textId="607F326C" w:rsidR="00AE7AD1" w:rsidRDefault="00AE7AD1" w:rsidP="00AE7AD1">
      <w:r>
        <w:t xml:space="preserve">Questions should be kept to the minimum required for clarity, and leading questions must be avoided. Advice will then be sought from the appropriate authorities and </w:t>
      </w:r>
      <w:r w:rsidR="009926C7">
        <w:t xml:space="preserve">the adult at risk </w:t>
      </w:r>
      <w:r>
        <w:t xml:space="preserve">will be advised of the outcome, if appropriate. </w:t>
      </w:r>
    </w:p>
    <w:p w14:paraId="56BC3B38" w14:textId="3F2D50BB" w:rsidR="00AE7AD1" w:rsidRPr="007279B2" w:rsidRDefault="00AE7AD1" w:rsidP="00AE7AD1">
      <w:pPr>
        <w:rPr>
          <w:b/>
        </w:rPr>
      </w:pPr>
      <w:r w:rsidRPr="007279B2">
        <w:rPr>
          <w:b/>
        </w:rPr>
        <w:t>Report Form attached.</w:t>
      </w:r>
    </w:p>
    <w:p w14:paraId="382584E0" w14:textId="77777777" w:rsidR="008F72AC" w:rsidRPr="00250123" w:rsidRDefault="008F72AC" w:rsidP="008F72AC">
      <w:pPr>
        <w:pStyle w:val="Heading3"/>
        <w:rPr>
          <w:sz w:val="24"/>
        </w:rPr>
      </w:pPr>
      <w:r w:rsidRPr="00250123">
        <w:t>Approval</w:t>
      </w:r>
    </w:p>
    <w:tbl>
      <w:tblPr>
        <w:tblStyle w:val="TableGrid"/>
        <w:tblW w:w="0" w:type="auto"/>
        <w:tblLook w:val="04A0" w:firstRow="1" w:lastRow="0" w:firstColumn="1" w:lastColumn="0" w:noHBand="0" w:noVBand="1"/>
      </w:tblPr>
      <w:tblGrid>
        <w:gridCol w:w="2414"/>
        <w:gridCol w:w="2395"/>
        <w:gridCol w:w="1812"/>
        <w:gridCol w:w="3006"/>
      </w:tblGrid>
      <w:tr w:rsidR="008F72AC" w:rsidRPr="00250123" w14:paraId="46C0FB74" w14:textId="77777777" w:rsidTr="003819CB">
        <w:tc>
          <w:tcPr>
            <w:tcW w:w="24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267697B" w14:textId="77777777" w:rsidR="008F72AC" w:rsidRPr="00250123" w:rsidRDefault="008F72AC" w:rsidP="003819CB">
            <w:pPr>
              <w:spacing w:before="240" w:after="240"/>
              <w:rPr>
                <w:lang w:val="en-GB"/>
              </w:rPr>
            </w:pPr>
            <w:r w:rsidRPr="00250123">
              <w:rPr>
                <w:lang w:val="en-GB"/>
              </w:rPr>
              <w:t>Signature:</w:t>
            </w:r>
          </w:p>
        </w:tc>
        <w:tc>
          <w:tcPr>
            <w:tcW w:w="4308" w:type="dxa"/>
            <w:gridSpan w:val="2"/>
            <w:tcBorders>
              <w:top w:val="single" w:sz="4" w:space="0" w:color="auto"/>
              <w:left w:val="single" w:sz="4" w:space="0" w:color="auto"/>
              <w:bottom w:val="single" w:sz="4" w:space="0" w:color="auto"/>
              <w:right w:val="single" w:sz="4" w:space="0" w:color="auto"/>
            </w:tcBorders>
          </w:tcPr>
          <w:p w14:paraId="244660F0" w14:textId="77777777" w:rsidR="008F72AC" w:rsidRPr="00250123" w:rsidRDefault="008F72AC" w:rsidP="003819CB">
            <w:pPr>
              <w:spacing w:before="120" w:after="0"/>
              <w:rPr>
                <w:lang w:val="en-GB"/>
              </w:rPr>
            </w:pPr>
            <w:r>
              <w:rPr>
                <w:noProof/>
                <w:lang w:val="en-GB"/>
              </w:rPr>
              <w:drawing>
                <wp:inline distT="0" distB="0" distL="0" distR="0" wp14:anchorId="7EAA37DD" wp14:editId="632E069B">
                  <wp:extent cx="106680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inline>
              </w:drawing>
            </w:r>
          </w:p>
        </w:tc>
        <w:tc>
          <w:tcPr>
            <w:tcW w:w="3082" w:type="dxa"/>
            <w:tcBorders>
              <w:top w:val="single" w:sz="4" w:space="0" w:color="auto"/>
              <w:left w:val="single" w:sz="4" w:space="0" w:color="auto"/>
              <w:bottom w:val="single" w:sz="4" w:space="0" w:color="auto"/>
              <w:right w:val="single" w:sz="4" w:space="0" w:color="auto"/>
            </w:tcBorders>
            <w:hideMark/>
          </w:tcPr>
          <w:p w14:paraId="3B019514" w14:textId="77777777" w:rsidR="008F72AC" w:rsidRPr="00250123" w:rsidRDefault="008F72AC" w:rsidP="003819CB">
            <w:pPr>
              <w:spacing w:before="240" w:after="240"/>
              <w:rPr>
                <w:lang w:val="en-GB"/>
              </w:rPr>
            </w:pPr>
            <w:r>
              <w:rPr>
                <w:lang w:val="en-GB"/>
              </w:rPr>
              <w:t xml:space="preserve">Martin Steers </w:t>
            </w:r>
            <w:r>
              <w:rPr>
                <w:lang w:val="en-GB"/>
              </w:rPr>
              <w:br/>
            </w:r>
            <w:r>
              <w:rPr>
                <w:rFonts w:cs="Arial"/>
                <w:szCs w:val="28"/>
              </w:rPr>
              <w:t>Managing Director</w:t>
            </w:r>
          </w:p>
        </w:tc>
      </w:tr>
      <w:tr w:rsidR="008F72AC" w:rsidRPr="00250123" w14:paraId="74807234" w14:textId="77777777" w:rsidTr="003819CB">
        <w:tc>
          <w:tcPr>
            <w:tcW w:w="24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47B6D26" w14:textId="77777777" w:rsidR="008F72AC" w:rsidRPr="00250123" w:rsidRDefault="008F72AC" w:rsidP="003819CB">
            <w:pPr>
              <w:rPr>
                <w:lang w:val="en-GB"/>
              </w:rPr>
            </w:pPr>
            <w:r w:rsidRPr="00250123">
              <w:rPr>
                <w:lang w:val="en-GB"/>
              </w:rPr>
              <w:t>Board Approved:</w:t>
            </w:r>
          </w:p>
        </w:tc>
        <w:tc>
          <w:tcPr>
            <w:tcW w:w="2463" w:type="dxa"/>
            <w:tcBorders>
              <w:top w:val="single" w:sz="4" w:space="0" w:color="auto"/>
              <w:left w:val="single" w:sz="4" w:space="0" w:color="auto"/>
              <w:bottom w:val="single" w:sz="4" w:space="0" w:color="auto"/>
              <w:right w:val="single" w:sz="4" w:space="0" w:color="auto"/>
            </w:tcBorders>
          </w:tcPr>
          <w:p w14:paraId="3E174D1B" w14:textId="77777777" w:rsidR="008F72AC" w:rsidRPr="00250123" w:rsidRDefault="008F72AC" w:rsidP="003819CB">
            <w:pPr>
              <w:rPr>
                <w:lang w:val="en-GB"/>
              </w:rPr>
            </w:pPr>
            <w:r>
              <w:t>June 2018</w:t>
            </w:r>
          </w:p>
        </w:tc>
        <w:tc>
          <w:tcPr>
            <w:tcW w:w="184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EF5D9DB" w14:textId="77777777" w:rsidR="008F72AC" w:rsidRPr="00250123" w:rsidRDefault="008F72AC" w:rsidP="003819CB">
            <w:pPr>
              <w:rPr>
                <w:lang w:val="en-GB"/>
              </w:rPr>
            </w:pPr>
            <w:r w:rsidRPr="00250123">
              <w:rPr>
                <w:lang w:val="en-GB"/>
              </w:rPr>
              <w:t>Review Date:</w:t>
            </w:r>
          </w:p>
        </w:tc>
        <w:tc>
          <w:tcPr>
            <w:tcW w:w="3082" w:type="dxa"/>
            <w:tcBorders>
              <w:top w:val="single" w:sz="4" w:space="0" w:color="auto"/>
              <w:left w:val="single" w:sz="4" w:space="0" w:color="auto"/>
              <w:bottom w:val="single" w:sz="4" w:space="0" w:color="auto"/>
              <w:right w:val="single" w:sz="4" w:space="0" w:color="auto"/>
            </w:tcBorders>
          </w:tcPr>
          <w:p w14:paraId="58B36041" w14:textId="77777777" w:rsidR="008F72AC" w:rsidRPr="00250123" w:rsidRDefault="008F72AC" w:rsidP="003819CB">
            <w:pPr>
              <w:rPr>
                <w:lang w:val="en-GB"/>
              </w:rPr>
            </w:pPr>
            <w:r>
              <w:rPr>
                <w:lang w:val="en-GB"/>
              </w:rPr>
              <w:t>June 2019</w:t>
            </w:r>
          </w:p>
        </w:tc>
      </w:tr>
    </w:tbl>
    <w:p w14:paraId="485677B5" w14:textId="77777777" w:rsidR="008F72AC" w:rsidRDefault="008F72AC" w:rsidP="00BE75AB">
      <w:pPr>
        <w:pStyle w:val="Heading1"/>
      </w:pPr>
    </w:p>
    <w:p w14:paraId="508BD1D7" w14:textId="77777777" w:rsidR="008F72AC" w:rsidRDefault="008F72AC">
      <w:pPr>
        <w:spacing w:before="0" w:after="200" w:line="276" w:lineRule="auto"/>
        <w:rPr>
          <w:rFonts w:eastAsiaTheme="majorEastAsia" w:cstheme="majorBidi"/>
          <w:b/>
          <w:bCs/>
          <w:color w:val="365F91" w:themeColor="accent1" w:themeShade="BF"/>
          <w:sz w:val="44"/>
          <w:szCs w:val="28"/>
        </w:rPr>
      </w:pPr>
      <w:r>
        <w:br w:type="page"/>
      </w:r>
    </w:p>
    <w:p w14:paraId="0B38639B" w14:textId="383B2875" w:rsidR="00BE75AB" w:rsidRDefault="00BE75AB" w:rsidP="00BE75AB">
      <w:pPr>
        <w:pStyle w:val="Heading1"/>
      </w:pPr>
      <w:r>
        <w:lastRenderedPageBreak/>
        <w:t>Safeguarding - Report Form</w:t>
      </w:r>
    </w:p>
    <w:tbl>
      <w:tblPr>
        <w:tblStyle w:val="TableGrid"/>
        <w:tblW w:w="0" w:type="auto"/>
        <w:tblLook w:val="04A0" w:firstRow="1" w:lastRow="0" w:firstColumn="1" w:lastColumn="0" w:noHBand="0" w:noVBand="1"/>
      </w:tblPr>
      <w:tblGrid>
        <w:gridCol w:w="1696"/>
        <w:gridCol w:w="2835"/>
        <w:gridCol w:w="1985"/>
        <w:gridCol w:w="3111"/>
      </w:tblGrid>
      <w:tr w:rsidR="00BE75AB" w14:paraId="18F8C2B6" w14:textId="77777777" w:rsidTr="00B45A8B">
        <w:tc>
          <w:tcPr>
            <w:tcW w:w="1696" w:type="dxa"/>
            <w:tcBorders>
              <w:bottom w:val="single" w:sz="4" w:space="0" w:color="auto"/>
            </w:tcBorders>
            <w:shd w:val="clear" w:color="auto" w:fill="DBE5F1" w:themeFill="accent1" w:themeFillTint="33"/>
          </w:tcPr>
          <w:p w14:paraId="59D70CBF" w14:textId="36AAD411" w:rsidR="00BE75AB" w:rsidRPr="008D38BA" w:rsidRDefault="00BE75AB" w:rsidP="008D38BA">
            <w:pPr>
              <w:spacing w:before="120" w:after="120"/>
              <w:rPr>
                <w:b/>
              </w:rPr>
            </w:pPr>
            <w:r w:rsidRPr="008D38BA">
              <w:rPr>
                <w:b/>
              </w:rPr>
              <w:t>Date:</w:t>
            </w:r>
          </w:p>
        </w:tc>
        <w:tc>
          <w:tcPr>
            <w:tcW w:w="2835" w:type="dxa"/>
          </w:tcPr>
          <w:p w14:paraId="2A10DA06" w14:textId="77777777" w:rsidR="00BE75AB" w:rsidRDefault="00BE75AB" w:rsidP="008D38BA">
            <w:pPr>
              <w:spacing w:before="120" w:after="120"/>
            </w:pPr>
          </w:p>
        </w:tc>
        <w:tc>
          <w:tcPr>
            <w:tcW w:w="1985" w:type="dxa"/>
            <w:tcBorders>
              <w:bottom w:val="single" w:sz="4" w:space="0" w:color="auto"/>
            </w:tcBorders>
            <w:shd w:val="clear" w:color="auto" w:fill="DBE5F1" w:themeFill="accent1" w:themeFillTint="33"/>
          </w:tcPr>
          <w:p w14:paraId="6388DB77" w14:textId="71CD95A6" w:rsidR="00BE75AB" w:rsidRPr="008D38BA" w:rsidRDefault="006706CB" w:rsidP="008D38BA">
            <w:pPr>
              <w:spacing w:before="120" w:after="120"/>
              <w:rPr>
                <w:b/>
              </w:rPr>
            </w:pPr>
            <w:r w:rsidRPr="008D38BA">
              <w:rPr>
                <w:b/>
              </w:rPr>
              <w:t>Reported To:</w:t>
            </w:r>
          </w:p>
        </w:tc>
        <w:tc>
          <w:tcPr>
            <w:tcW w:w="3111" w:type="dxa"/>
          </w:tcPr>
          <w:p w14:paraId="1458426B" w14:textId="77777777" w:rsidR="00BE75AB" w:rsidRDefault="00BE75AB" w:rsidP="008D38BA">
            <w:pPr>
              <w:spacing w:before="120" w:after="120"/>
            </w:pPr>
          </w:p>
        </w:tc>
      </w:tr>
      <w:tr w:rsidR="006706CB" w14:paraId="54F020D5" w14:textId="77777777" w:rsidTr="00BD717B">
        <w:tc>
          <w:tcPr>
            <w:tcW w:w="1696" w:type="dxa"/>
            <w:tcBorders>
              <w:bottom w:val="single" w:sz="4" w:space="0" w:color="auto"/>
            </w:tcBorders>
            <w:shd w:val="clear" w:color="auto" w:fill="DBE5F1" w:themeFill="accent1" w:themeFillTint="33"/>
          </w:tcPr>
          <w:p w14:paraId="1A5290AB" w14:textId="34637752" w:rsidR="006706CB" w:rsidRPr="008D38BA" w:rsidRDefault="006706CB" w:rsidP="006706CB">
            <w:pPr>
              <w:spacing w:before="120" w:after="120"/>
              <w:rPr>
                <w:b/>
              </w:rPr>
            </w:pPr>
            <w:r>
              <w:rPr>
                <w:b/>
              </w:rPr>
              <w:t>Adult at risk n</w:t>
            </w:r>
            <w:r w:rsidRPr="008D38BA">
              <w:rPr>
                <w:b/>
              </w:rPr>
              <w:t>ame:</w:t>
            </w:r>
          </w:p>
        </w:tc>
        <w:tc>
          <w:tcPr>
            <w:tcW w:w="7931" w:type="dxa"/>
            <w:gridSpan w:val="3"/>
            <w:tcBorders>
              <w:bottom w:val="single" w:sz="4" w:space="0" w:color="auto"/>
            </w:tcBorders>
          </w:tcPr>
          <w:p w14:paraId="2A09CC52" w14:textId="5DB315F0" w:rsidR="006706CB" w:rsidRDefault="006706CB" w:rsidP="008D38BA">
            <w:pPr>
              <w:spacing w:before="120" w:after="120"/>
            </w:pPr>
          </w:p>
        </w:tc>
      </w:tr>
      <w:tr w:rsidR="00BE75AB" w14:paraId="52C48E61" w14:textId="77777777" w:rsidTr="00B5791B">
        <w:tc>
          <w:tcPr>
            <w:tcW w:w="4531" w:type="dxa"/>
            <w:gridSpan w:val="2"/>
            <w:tcBorders>
              <w:bottom w:val="single" w:sz="4" w:space="0" w:color="auto"/>
            </w:tcBorders>
            <w:shd w:val="clear" w:color="auto" w:fill="DBE5F1" w:themeFill="accent1" w:themeFillTint="33"/>
          </w:tcPr>
          <w:p w14:paraId="78835E38" w14:textId="2239D2DD" w:rsidR="00BE75AB" w:rsidRPr="008D38BA" w:rsidRDefault="006706CB" w:rsidP="008D38BA">
            <w:pPr>
              <w:spacing w:before="120" w:after="120"/>
              <w:rPr>
                <w:b/>
              </w:rPr>
            </w:pPr>
            <w:r>
              <w:rPr>
                <w:b/>
              </w:rPr>
              <w:t>Address:</w:t>
            </w:r>
          </w:p>
        </w:tc>
        <w:tc>
          <w:tcPr>
            <w:tcW w:w="5096" w:type="dxa"/>
            <w:gridSpan w:val="2"/>
            <w:tcBorders>
              <w:bottom w:val="single" w:sz="4" w:space="0" w:color="auto"/>
            </w:tcBorders>
          </w:tcPr>
          <w:p w14:paraId="5A78438E" w14:textId="77777777" w:rsidR="00BE75AB" w:rsidRDefault="00BE75AB" w:rsidP="008D38BA">
            <w:pPr>
              <w:spacing w:before="120" w:after="120"/>
            </w:pPr>
          </w:p>
        </w:tc>
      </w:tr>
      <w:tr w:rsidR="00AE7AD1" w14:paraId="2D115C12" w14:textId="77777777" w:rsidTr="006706CB">
        <w:tc>
          <w:tcPr>
            <w:tcW w:w="4531" w:type="dxa"/>
            <w:gridSpan w:val="2"/>
            <w:tcBorders>
              <w:bottom w:val="single" w:sz="4" w:space="0" w:color="auto"/>
            </w:tcBorders>
            <w:shd w:val="clear" w:color="auto" w:fill="DBE5F1" w:themeFill="accent1" w:themeFillTint="33"/>
          </w:tcPr>
          <w:p w14:paraId="749BFC89" w14:textId="1D11A8F7" w:rsidR="00AE7AD1" w:rsidRDefault="00AE7AD1" w:rsidP="008D38BA">
            <w:pPr>
              <w:spacing w:before="120" w:after="120"/>
              <w:rPr>
                <w:b/>
              </w:rPr>
            </w:pPr>
            <w:r>
              <w:rPr>
                <w:b/>
              </w:rPr>
              <w:t>Local Authority (if known):</w:t>
            </w:r>
          </w:p>
        </w:tc>
        <w:tc>
          <w:tcPr>
            <w:tcW w:w="5096" w:type="dxa"/>
            <w:gridSpan w:val="2"/>
            <w:tcBorders>
              <w:bottom w:val="single" w:sz="4" w:space="0" w:color="auto"/>
            </w:tcBorders>
          </w:tcPr>
          <w:p w14:paraId="1F341B8B" w14:textId="77777777" w:rsidR="00AE7AD1" w:rsidRDefault="00AE7AD1" w:rsidP="008D38BA">
            <w:pPr>
              <w:spacing w:before="120" w:after="120"/>
            </w:pPr>
          </w:p>
        </w:tc>
      </w:tr>
      <w:tr w:rsidR="008D38BA" w14:paraId="62BB1625" w14:textId="77777777" w:rsidTr="008D38BA">
        <w:tc>
          <w:tcPr>
            <w:tcW w:w="9627" w:type="dxa"/>
            <w:gridSpan w:val="4"/>
            <w:shd w:val="clear" w:color="auto" w:fill="DBE5F1" w:themeFill="accent1" w:themeFillTint="33"/>
          </w:tcPr>
          <w:p w14:paraId="70FADB47" w14:textId="47B8DC80" w:rsidR="008D38BA" w:rsidRPr="008D38BA" w:rsidRDefault="00AE7AD1" w:rsidP="00AE7AD1">
            <w:pPr>
              <w:spacing w:before="120" w:after="120"/>
              <w:rPr>
                <w:b/>
              </w:rPr>
            </w:pPr>
            <w:r>
              <w:rPr>
                <w:b/>
              </w:rPr>
              <w:t>Reason for referral</w:t>
            </w:r>
            <w:r w:rsidR="008D38BA" w:rsidRPr="008D38BA">
              <w:rPr>
                <w:b/>
              </w:rPr>
              <w:t>:</w:t>
            </w:r>
          </w:p>
        </w:tc>
      </w:tr>
      <w:tr w:rsidR="002137F9" w14:paraId="6AF62CE8" w14:textId="77777777" w:rsidTr="002137F9">
        <w:tc>
          <w:tcPr>
            <w:tcW w:w="9627" w:type="dxa"/>
            <w:gridSpan w:val="4"/>
            <w:tcBorders>
              <w:bottom w:val="single" w:sz="4" w:space="0" w:color="auto"/>
            </w:tcBorders>
          </w:tcPr>
          <w:p w14:paraId="3AA9B4FA" w14:textId="77777777" w:rsidR="002137F9" w:rsidRDefault="002137F9" w:rsidP="00E72743">
            <w:pPr>
              <w:spacing w:before="120" w:after="120"/>
              <w:rPr>
                <w:sz w:val="20"/>
                <w:szCs w:val="20"/>
              </w:rPr>
            </w:pPr>
            <w:r>
              <w:rPr>
                <w:sz w:val="20"/>
                <w:szCs w:val="20"/>
              </w:rPr>
              <w:t>(What you have observed/what has the adult at risk disclosed to you which leads you to believe this is a safeguarding referral where the adult may be at risk of harm or being abused? Give as much detail as possible and attach a copy of any background notes which may be relevant to this referral)</w:t>
            </w:r>
          </w:p>
          <w:p w14:paraId="18C8D092" w14:textId="77777777" w:rsidR="002137F9" w:rsidRPr="00B5791B" w:rsidRDefault="002137F9" w:rsidP="00E72743">
            <w:pPr>
              <w:spacing w:before="120" w:after="120"/>
              <w:rPr>
                <w:i/>
                <w:sz w:val="20"/>
                <w:szCs w:val="20"/>
              </w:rPr>
            </w:pPr>
            <w:r w:rsidRPr="00B5791B">
              <w:rPr>
                <w:i/>
                <w:sz w:val="20"/>
                <w:szCs w:val="20"/>
              </w:rPr>
              <w:t>(continue overleaf or on a separate sheet if necessary)</w:t>
            </w:r>
          </w:p>
        </w:tc>
      </w:tr>
      <w:tr w:rsidR="008D38BA" w14:paraId="3ED759ED" w14:textId="77777777" w:rsidTr="002137F9">
        <w:trPr>
          <w:trHeight w:val="6804"/>
        </w:trPr>
        <w:tc>
          <w:tcPr>
            <w:tcW w:w="9627" w:type="dxa"/>
            <w:gridSpan w:val="4"/>
            <w:tcBorders>
              <w:bottom w:val="single" w:sz="4" w:space="0" w:color="auto"/>
            </w:tcBorders>
          </w:tcPr>
          <w:p w14:paraId="3E4D8440" w14:textId="01259F25" w:rsidR="00AE7AD1" w:rsidRPr="00B5791B" w:rsidRDefault="00AE7AD1" w:rsidP="002137F9"/>
        </w:tc>
      </w:tr>
    </w:tbl>
    <w:p w14:paraId="12BEA98D" w14:textId="77777777" w:rsidR="00BE75AB" w:rsidRDefault="00BE75AB" w:rsidP="00604D47">
      <w:pPr>
        <w:spacing w:before="0" w:after="0"/>
        <w:rPr>
          <w:sz w:val="2"/>
          <w:szCs w:val="2"/>
        </w:rPr>
      </w:pPr>
    </w:p>
    <w:p w14:paraId="377B4F81" w14:textId="382BD53A" w:rsidR="006706CB" w:rsidRDefault="006706CB" w:rsidP="00604D47">
      <w:pPr>
        <w:spacing w:before="0" w:after="0"/>
        <w:rPr>
          <w:sz w:val="2"/>
          <w:szCs w:val="2"/>
        </w:rPr>
      </w:pPr>
    </w:p>
    <w:tbl>
      <w:tblPr>
        <w:tblStyle w:val="TableGrid"/>
        <w:tblW w:w="0" w:type="auto"/>
        <w:tblLook w:val="04A0" w:firstRow="1" w:lastRow="0" w:firstColumn="1" w:lastColumn="0" w:noHBand="0" w:noVBand="1"/>
      </w:tblPr>
      <w:tblGrid>
        <w:gridCol w:w="1696"/>
        <w:gridCol w:w="2835"/>
        <w:gridCol w:w="1985"/>
        <w:gridCol w:w="3111"/>
      </w:tblGrid>
      <w:tr w:rsidR="00AE7AD1" w14:paraId="704CF14C" w14:textId="77777777" w:rsidTr="00B5791B">
        <w:tc>
          <w:tcPr>
            <w:tcW w:w="1696" w:type="dxa"/>
            <w:shd w:val="clear" w:color="auto" w:fill="DBE5F1" w:themeFill="accent1" w:themeFillTint="33"/>
          </w:tcPr>
          <w:p w14:paraId="68F2EBCC" w14:textId="0748A6A0" w:rsidR="00AE7AD1" w:rsidRPr="008D38BA" w:rsidRDefault="00AE7AD1" w:rsidP="001A7811">
            <w:pPr>
              <w:spacing w:before="120" w:after="120"/>
              <w:rPr>
                <w:b/>
              </w:rPr>
            </w:pPr>
            <w:r>
              <w:rPr>
                <w:b/>
              </w:rPr>
              <w:t>Signed:</w:t>
            </w:r>
          </w:p>
        </w:tc>
        <w:tc>
          <w:tcPr>
            <w:tcW w:w="2835" w:type="dxa"/>
          </w:tcPr>
          <w:p w14:paraId="4A4CDF41" w14:textId="77777777" w:rsidR="00AE7AD1" w:rsidRDefault="00AE7AD1" w:rsidP="001A7811">
            <w:pPr>
              <w:spacing w:before="120" w:after="120"/>
            </w:pPr>
          </w:p>
        </w:tc>
        <w:tc>
          <w:tcPr>
            <w:tcW w:w="1985" w:type="dxa"/>
            <w:shd w:val="clear" w:color="auto" w:fill="DBE5F1" w:themeFill="accent1" w:themeFillTint="33"/>
          </w:tcPr>
          <w:p w14:paraId="021D9AE8" w14:textId="4FAC6C19" w:rsidR="00AE7AD1" w:rsidRPr="008D38BA" w:rsidRDefault="00AE7AD1" w:rsidP="00AE7AD1">
            <w:pPr>
              <w:spacing w:before="120" w:after="120"/>
              <w:rPr>
                <w:b/>
              </w:rPr>
            </w:pPr>
            <w:r>
              <w:rPr>
                <w:b/>
              </w:rPr>
              <w:t>Print name</w:t>
            </w:r>
            <w:r w:rsidRPr="008D38BA">
              <w:rPr>
                <w:b/>
              </w:rPr>
              <w:t>:</w:t>
            </w:r>
          </w:p>
        </w:tc>
        <w:tc>
          <w:tcPr>
            <w:tcW w:w="3111" w:type="dxa"/>
          </w:tcPr>
          <w:p w14:paraId="44CC6509" w14:textId="77777777" w:rsidR="00AE7AD1" w:rsidRDefault="00AE7AD1" w:rsidP="001A7811">
            <w:pPr>
              <w:spacing w:before="120" w:after="120"/>
            </w:pPr>
          </w:p>
        </w:tc>
      </w:tr>
      <w:tr w:rsidR="00AE7AD1" w14:paraId="4ED4AB9A" w14:textId="77777777" w:rsidTr="001A7811">
        <w:tc>
          <w:tcPr>
            <w:tcW w:w="1696" w:type="dxa"/>
            <w:tcBorders>
              <w:bottom w:val="single" w:sz="4" w:space="0" w:color="auto"/>
            </w:tcBorders>
            <w:shd w:val="clear" w:color="auto" w:fill="DBE5F1" w:themeFill="accent1" w:themeFillTint="33"/>
          </w:tcPr>
          <w:p w14:paraId="00D01057" w14:textId="6450C11A" w:rsidR="00AE7AD1" w:rsidRDefault="00AE7AD1" w:rsidP="001A7811">
            <w:pPr>
              <w:spacing w:before="120" w:after="120"/>
              <w:rPr>
                <w:b/>
              </w:rPr>
            </w:pPr>
            <w:r>
              <w:rPr>
                <w:b/>
              </w:rPr>
              <w:t>Position:</w:t>
            </w:r>
          </w:p>
        </w:tc>
        <w:tc>
          <w:tcPr>
            <w:tcW w:w="2835" w:type="dxa"/>
          </w:tcPr>
          <w:p w14:paraId="490F8510" w14:textId="77777777" w:rsidR="00AE7AD1" w:rsidRDefault="00AE7AD1" w:rsidP="001A7811">
            <w:pPr>
              <w:spacing w:before="120" w:after="120"/>
            </w:pPr>
          </w:p>
        </w:tc>
        <w:tc>
          <w:tcPr>
            <w:tcW w:w="1985" w:type="dxa"/>
            <w:tcBorders>
              <w:bottom w:val="single" w:sz="4" w:space="0" w:color="auto"/>
            </w:tcBorders>
            <w:shd w:val="clear" w:color="auto" w:fill="DBE5F1" w:themeFill="accent1" w:themeFillTint="33"/>
          </w:tcPr>
          <w:p w14:paraId="73709E23" w14:textId="3C23003D" w:rsidR="00AE7AD1" w:rsidRDefault="00AE7AD1" w:rsidP="00AE7AD1">
            <w:pPr>
              <w:spacing w:before="120" w:after="120"/>
              <w:rPr>
                <w:b/>
              </w:rPr>
            </w:pPr>
            <w:r>
              <w:rPr>
                <w:b/>
              </w:rPr>
              <w:t>Tel:</w:t>
            </w:r>
          </w:p>
        </w:tc>
        <w:tc>
          <w:tcPr>
            <w:tcW w:w="3111" w:type="dxa"/>
          </w:tcPr>
          <w:p w14:paraId="426F9C86" w14:textId="77777777" w:rsidR="00AE7AD1" w:rsidRDefault="00AE7AD1" w:rsidP="001A7811">
            <w:pPr>
              <w:spacing w:before="120" w:after="120"/>
            </w:pPr>
          </w:p>
        </w:tc>
      </w:tr>
    </w:tbl>
    <w:p w14:paraId="171B794A" w14:textId="77777777" w:rsidR="006706CB" w:rsidRPr="006706CB" w:rsidRDefault="006706CB" w:rsidP="00B5791B">
      <w:pPr>
        <w:rPr>
          <w:sz w:val="2"/>
          <w:szCs w:val="2"/>
        </w:rPr>
      </w:pPr>
    </w:p>
    <w:p w14:paraId="049FD0DD" w14:textId="45B3AF3C" w:rsidR="00545E96" w:rsidRDefault="006706CB" w:rsidP="006706CB">
      <w:pPr>
        <w:tabs>
          <w:tab w:val="left" w:pos="948"/>
        </w:tabs>
        <w:rPr>
          <w:sz w:val="2"/>
          <w:szCs w:val="2"/>
        </w:rPr>
      </w:pPr>
      <w:r>
        <w:rPr>
          <w:sz w:val="2"/>
          <w:szCs w:val="2"/>
        </w:rPr>
        <w:tab/>
      </w:r>
    </w:p>
    <w:p w14:paraId="69E16401" w14:textId="16053722" w:rsidR="00BE75AB" w:rsidRPr="00B5791B" w:rsidRDefault="00545E96" w:rsidP="00B5791B">
      <w:pPr>
        <w:rPr>
          <w:b/>
          <w:szCs w:val="24"/>
        </w:rPr>
      </w:pPr>
      <w:r w:rsidRPr="00B5791B">
        <w:rPr>
          <w:b/>
          <w:szCs w:val="24"/>
        </w:rPr>
        <w:t>Please hand this referral personally or via email to:</w:t>
      </w:r>
    </w:p>
    <w:p w14:paraId="136941B9" w14:textId="4EA765D0" w:rsidR="008F72AC" w:rsidRPr="008F72AC" w:rsidRDefault="00545E96" w:rsidP="008F72AC">
      <w:pPr>
        <w:pStyle w:val="ListParagraph"/>
        <w:numPr>
          <w:ilvl w:val="0"/>
          <w:numId w:val="18"/>
        </w:numPr>
        <w:rPr>
          <w:szCs w:val="24"/>
        </w:rPr>
      </w:pPr>
      <w:r>
        <w:rPr>
          <w:szCs w:val="24"/>
        </w:rPr>
        <w:t>your line manager</w:t>
      </w:r>
      <w:r w:rsidR="008F72AC">
        <w:rPr>
          <w:szCs w:val="24"/>
        </w:rPr>
        <w:t xml:space="preserve"> or the managing director</w:t>
      </w:r>
      <w:bookmarkStart w:id="0" w:name="_GoBack"/>
      <w:bookmarkEnd w:id="0"/>
    </w:p>
    <w:p w14:paraId="6D64EEE1" w14:textId="77777777" w:rsidR="008F72AC" w:rsidRPr="008F72AC" w:rsidRDefault="008F72AC" w:rsidP="008F72AC"/>
    <w:sectPr w:rsidR="008F72AC" w:rsidRPr="008F72AC" w:rsidSect="002F6D7D">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851"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2350D" w14:textId="77777777" w:rsidR="00392571" w:rsidRDefault="00392571" w:rsidP="006F579D">
      <w:pPr>
        <w:spacing w:before="0" w:after="0"/>
      </w:pPr>
      <w:r>
        <w:separator/>
      </w:r>
    </w:p>
  </w:endnote>
  <w:endnote w:type="continuationSeparator" w:id="0">
    <w:p w14:paraId="797EB548" w14:textId="77777777" w:rsidR="00392571" w:rsidRDefault="00392571" w:rsidP="006F579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5BB7C" w14:textId="77777777" w:rsidR="00C5488A" w:rsidRPr="003243EB" w:rsidRDefault="00C5488A" w:rsidP="00C5488A">
    <w:pPr>
      <w:pStyle w:val="Footer"/>
      <w:pBdr>
        <w:bottom w:val="single" w:sz="8" w:space="1" w:color="365F91" w:themeColor="accent1" w:themeShade="BF"/>
      </w:pBdr>
      <w:tabs>
        <w:tab w:val="clear" w:pos="9026"/>
        <w:tab w:val="right" w:pos="9639"/>
      </w:tabs>
      <w:rPr>
        <w:sz w:val="4"/>
        <w:szCs w:val="4"/>
      </w:rPr>
    </w:pPr>
  </w:p>
  <w:p w14:paraId="34C64DDA" w14:textId="77777777" w:rsidR="00C5488A" w:rsidRPr="003243EB" w:rsidRDefault="00C5488A" w:rsidP="00C5488A">
    <w:pPr>
      <w:pStyle w:val="Footer"/>
      <w:tabs>
        <w:tab w:val="clear" w:pos="9026"/>
        <w:tab w:val="right" w:pos="9639"/>
      </w:tabs>
      <w:rPr>
        <w:sz w:val="4"/>
        <w:szCs w:val="4"/>
      </w:rPr>
    </w:pPr>
  </w:p>
  <w:p w14:paraId="36A57AD0" w14:textId="51B81E32" w:rsidR="00C5488A" w:rsidRPr="0030024B" w:rsidRDefault="008F72AC" w:rsidP="00C5488A">
    <w:pPr>
      <w:pStyle w:val="Footer"/>
      <w:tabs>
        <w:tab w:val="clear" w:pos="4513"/>
        <w:tab w:val="clear" w:pos="9026"/>
        <w:tab w:val="center" w:pos="4820"/>
        <w:tab w:val="right" w:pos="9639"/>
      </w:tabs>
      <w:rPr>
        <w:color w:val="365F91" w:themeColor="accent1" w:themeShade="BF"/>
        <w:sz w:val="20"/>
      </w:rPr>
    </w:pPr>
    <w:r>
      <w:rPr>
        <w:color w:val="365F91" w:themeColor="accent1" w:themeShade="BF"/>
        <w:sz w:val="20"/>
      </w:rPr>
      <w:t>June 2018</w:t>
    </w:r>
    <w:r w:rsidRPr="0030024B">
      <w:rPr>
        <w:color w:val="365F91" w:themeColor="accent1" w:themeShade="BF"/>
        <w:sz w:val="20"/>
      </w:rPr>
      <w:tab/>
    </w:r>
    <w:r w:rsidR="00C5488A" w:rsidRPr="0030024B">
      <w:rPr>
        <w:color w:val="365F91" w:themeColor="accent1" w:themeShade="BF"/>
        <w:sz w:val="20"/>
      </w:rPr>
      <w:tab/>
      <w:t xml:space="preserve">Page </w:t>
    </w:r>
    <w:r w:rsidR="00C5488A" w:rsidRPr="0030024B">
      <w:rPr>
        <w:color w:val="365F91" w:themeColor="accent1" w:themeShade="BF"/>
        <w:sz w:val="20"/>
      </w:rPr>
      <w:fldChar w:fldCharType="begin"/>
    </w:r>
    <w:r w:rsidR="00C5488A" w:rsidRPr="0030024B">
      <w:rPr>
        <w:color w:val="365F91" w:themeColor="accent1" w:themeShade="BF"/>
        <w:sz w:val="20"/>
      </w:rPr>
      <w:instrText xml:space="preserve"> PAGE   \* MERGEFORMAT </w:instrText>
    </w:r>
    <w:r w:rsidR="00C5488A" w:rsidRPr="0030024B">
      <w:rPr>
        <w:color w:val="365F91" w:themeColor="accent1" w:themeShade="BF"/>
        <w:sz w:val="20"/>
      </w:rPr>
      <w:fldChar w:fldCharType="separate"/>
    </w:r>
    <w:r w:rsidR="003F6918">
      <w:rPr>
        <w:noProof/>
        <w:color w:val="365F91" w:themeColor="accent1" w:themeShade="BF"/>
        <w:sz w:val="20"/>
      </w:rPr>
      <w:t>6</w:t>
    </w:r>
    <w:r w:rsidR="00C5488A" w:rsidRPr="0030024B">
      <w:rPr>
        <w:color w:val="365F91" w:themeColor="accent1" w:themeShade="BF"/>
        <w:sz w:val="20"/>
      </w:rPr>
      <w:fldChar w:fldCharType="end"/>
    </w:r>
    <w:r w:rsidR="00C5488A" w:rsidRPr="0030024B">
      <w:rPr>
        <w:color w:val="365F91" w:themeColor="accent1" w:themeShade="BF"/>
        <w:sz w:val="20"/>
      </w:rPr>
      <w:t xml:space="preserve"> of </w:t>
    </w:r>
    <w:r w:rsidR="00C5488A" w:rsidRPr="0030024B">
      <w:rPr>
        <w:color w:val="365F91" w:themeColor="accent1" w:themeShade="BF"/>
        <w:sz w:val="20"/>
      </w:rPr>
      <w:fldChar w:fldCharType="begin"/>
    </w:r>
    <w:r w:rsidR="00C5488A" w:rsidRPr="0030024B">
      <w:rPr>
        <w:color w:val="365F91" w:themeColor="accent1" w:themeShade="BF"/>
        <w:sz w:val="20"/>
      </w:rPr>
      <w:instrText xml:space="preserve"> NUMPAGES   \* MERGEFORMAT </w:instrText>
    </w:r>
    <w:r w:rsidR="00C5488A" w:rsidRPr="0030024B">
      <w:rPr>
        <w:color w:val="365F91" w:themeColor="accent1" w:themeShade="BF"/>
        <w:sz w:val="20"/>
      </w:rPr>
      <w:fldChar w:fldCharType="separate"/>
    </w:r>
    <w:r w:rsidR="003F6918">
      <w:rPr>
        <w:noProof/>
        <w:color w:val="365F91" w:themeColor="accent1" w:themeShade="BF"/>
        <w:sz w:val="20"/>
      </w:rPr>
      <w:t>6</w:t>
    </w:r>
    <w:r w:rsidR="00C5488A" w:rsidRPr="0030024B">
      <w:rPr>
        <w:color w:val="365F91" w:themeColor="accent1" w:themeShade="B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693DF" w14:textId="77777777" w:rsidR="003243EB" w:rsidRPr="003243EB" w:rsidRDefault="003243EB" w:rsidP="0030024B">
    <w:pPr>
      <w:pStyle w:val="Footer"/>
      <w:pBdr>
        <w:bottom w:val="single" w:sz="8" w:space="1" w:color="365F91" w:themeColor="accent1" w:themeShade="BF"/>
      </w:pBdr>
      <w:tabs>
        <w:tab w:val="clear" w:pos="9026"/>
        <w:tab w:val="right" w:pos="9639"/>
      </w:tabs>
      <w:rPr>
        <w:sz w:val="4"/>
        <w:szCs w:val="4"/>
      </w:rPr>
    </w:pPr>
  </w:p>
  <w:p w14:paraId="5033B61E" w14:textId="77777777" w:rsidR="003243EB" w:rsidRPr="003243EB" w:rsidRDefault="003243EB" w:rsidP="006F579D">
    <w:pPr>
      <w:pStyle w:val="Footer"/>
      <w:tabs>
        <w:tab w:val="clear" w:pos="9026"/>
        <w:tab w:val="right" w:pos="9639"/>
      </w:tabs>
      <w:rPr>
        <w:sz w:val="4"/>
        <w:szCs w:val="4"/>
      </w:rPr>
    </w:pPr>
  </w:p>
  <w:p w14:paraId="216FB16C" w14:textId="05B88CA5" w:rsidR="0030024B" w:rsidRPr="0030024B" w:rsidRDefault="008F72AC" w:rsidP="00C5488A">
    <w:pPr>
      <w:pStyle w:val="Footer"/>
      <w:tabs>
        <w:tab w:val="clear" w:pos="4513"/>
        <w:tab w:val="clear" w:pos="9026"/>
        <w:tab w:val="center" w:pos="4820"/>
        <w:tab w:val="right" w:pos="9639"/>
      </w:tabs>
      <w:rPr>
        <w:color w:val="365F91" w:themeColor="accent1" w:themeShade="BF"/>
        <w:sz w:val="20"/>
      </w:rPr>
    </w:pPr>
    <w:r>
      <w:rPr>
        <w:color w:val="365F91" w:themeColor="accent1" w:themeShade="BF"/>
        <w:sz w:val="20"/>
      </w:rPr>
      <w:t>June 2018</w:t>
    </w:r>
    <w:r w:rsidR="0030024B" w:rsidRPr="0030024B">
      <w:rPr>
        <w:color w:val="365F91" w:themeColor="accent1" w:themeShade="BF"/>
        <w:sz w:val="20"/>
      </w:rPr>
      <w:tab/>
      <w:t xml:space="preserve">Page </w:t>
    </w:r>
    <w:r w:rsidR="0030024B" w:rsidRPr="0030024B">
      <w:rPr>
        <w:color w:val="365F91" w:themeColor="accent1" w:themeShade="BF"/>
        <w:sz w:val="20"/>
      </w:rPr>
      <w:fldChar w:fldCharType="begin"/>
    </w:r>
    <w:r w:rsidR="0030024B" w:rsidRPr="0030024B">
      <w:rPr>
        <w:color w:val="365F91" w:themeColor="accent1" w:themeShade="BF"/>
        <w:sz w:val="20"/>
      </w:rPr>
      <w:instrText xml:space="preserve"> PAGE   \* MERGEFORMAT </w:instrText>
    </w:r>
    <w:r w:rsidR="0030024B" w:rsidRPr="0030024B">
      <w:rPr>
        <w:color w:val="365F91" w:themeColor="accent1" w:themeShade="BF"/>
        <w:sz w:val="20"/>
      </w:rPr>
      <w:fldChar w:fldCharType="separate"/>
    </w:r>
    <w:r w:rsidR="003F6918">
      <w:rPr>
        <w:noProof/>
        <w:color w:val="365F91" w:themeColor="accent1" w:themeShade="BF"/>
        <w:sz w:val="20"/>
      </w:rPr>
      <w:t>5</w:t>
    </w:r>
    <w:r w:rsidR="0030024B" w:rsidRPr="0030024B">
      <w:rPr>
        <w:color w:val="365F91" w:themeColor="accent1" w:themeShade="BF"/>
        <w:sz w:val="20"/>
      </w:rPr>
      <w:fldChar w:fldCharType="end"/>
    </w:r>
    <w:r w:rsidR="0030024B" w:rsidRPr="0030024B">
      <w:rPr>
        <w:color w:val="365F91" w:themeColor="accent1" w:themeShade="BF"/>
        <w:sz w:val="20"/>
      </w:rPr>
      <w:t xml:space="preserve"> of </w:t>
    </w:r>
    <w:r w:rsidR="0030024B" w:rsidRPr="0030024B">
      <w:rPr>
        <w:color w:val="365F91" w:themeColor="accent1" w:themeShade="BF"/>
        <w:sz w:val="20"/>
      </w:rPr>
      <w:fldChar w:fldCharType="begin"/>
    </w:r>
    <w:r w:rsidR="0030024B" w:rsidRPr="0030024B">
      <w:rPr>
        <w:color w:val="365F91" w:themeColor="accent1" w:themeShade="BF"/>
        <w:sz w:val="20"/>
      </w:rPr>
      <w:instrText xml:space="preserve"> NUMPAGES   \* MERGEFORMAT </w:instrText>
    </w:r>
    <w:r w:rsidR="0030024B" w:rsidRPr="0030024B">
      <w:rPr>
        <w:color w:val="365F91" w:themeColor="accent1" w:themeShade="BF"/>
        <w:sz w:val="20"/>
      </w:rPr>
      <w:fldChar w:fldCharType="separate"/>
    </w:r>
    <w:r w:rsidR="003F6918">
      <w:rPr>
        <w:noProof/>
        <w:color w:val="365F91" w:themeColor="accent1" w:themeShade="BF"/>
        <w:sz w:val="20"/>
      </w:rPr>
      <w:t>6</w:t>
    </w:r>
    <w:r w:rsidR="0030024B" w:rsidRPr="0030024B">
      <w:rPr>
        <w:color w:val="365F91" w:themeColor="accent1" w:themeShade="B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45DA5" w14:textId="77777777" w:rsidR="00C5488A" w:rsidRPr="003243EB" w:rsidRDefault="00C5488A" w:rsidP="00C5488A">
    <w:pPr>
      <w:pStyle w:val="Footer"/>
      <w:pBdr>
        <w:bottom w:val="single" w:sz="8" w:space="1" w:color="365F91" w:themeColor="accent1" w:themeShade="BF"/>
      </w:pBdr>
      <w:tabs>
        <w:tab w:val="clear" w:pos="9026"/>
        <w:tab w:val="right" w:pos="9639"/>
      </w:tabs>
      <w:rPr>
        <w:sz w:val="4"/>
        <w:szCs w:val="4"/>
      </w:rPr>
    </w:pPr>
  </w:p>
  <w:p w14:paraId="7179410E" w14:textId="77777777" w:rsidR="00C5488A" w:rsidRPr="003243EB" w:rsidRDefault="00C5488A" w:rsidP="00C5488A">
    <w:pPr>
      <w:pStyle w:val="Footer"/>
      <w:tabs>
        <w:tab w:val="clear" w:pos="9026"/>
        <w:tab w:val="right" w:pos="9639"/>
      </w:tabs>
      <w:rPr>
        <w:sz w:val="4"/>
        <w:szCs w:val="4"/>
      </w:rPr>
    </w:pPr>
  </w:p>
  <w:p w14:paraId="53C1A62E" w14:textId="3AA43206" w:rsidR="00C5488A" w:rsidRPr="0030024B" w:rsidRDefault="008F72AC" w:rsidP="00C5488A">
    <w:pPr>
      <w:pStyle w:val="Footer"/>
      <w:tabs>
        <w:tab w:val="clear" w:pos="4513"/>
        <w:tab w:val="clear" w:pos="9026"/>
        <w:tab w:val="center" w:pos="4820"/>
        <w:tab w:val="right" w:pos="9639"/>
      </w:tabs>
      <w:rPr>
        <w:color w:val="365F91" w:themeColor="accent1" w:themeShade="BF"/>
        <w:sz w:val="20"/>
      </w:rPr>
    </w:pPr>
    <w:r>
      <w:rPr>
        <w:color w:val="365F91" w:themeColor="accent1" w:themeShade="BF"/>
        <w:sz w:val="20"/>
      </w:rPr>
      <w:t>June 2018</w:t>
    </w:r>
    <w:r w:rsidR="00C5488A" w:rsidRPr="0030024B">
      <w:rPr>
        <w:color w:val="365F91" w:themeColor="accent1" w:themeShade="BF"/>
        <w:sz w:val="20"/>
      </w:rPr>
      <w:tab/>
    </w:r>
    <w:r w:rsidR="00C5488A" w:rsidRPr="0030024B">
      <w:rPr>
        <w:color w:val="365F91" w:themeColor="accent1" w:themeShade="BF"/>
        <w:sz w:val="20"/>
      </w:rPr>
      <w:tab/>
      <w:t xml:space="preserve">Page </w:t>
    </w:r>
    <w:r w:rsidR="00C5488A" w:rsidRPr="0030024B">
      <w:rPr>
        <w:color w:val="365F91" w:themeColor="accent1" w:themeShade="BF"/>
        <w:sz w:val="20"/>
      </w:rPr>
      <w:fldChar w:fldCharType="begin"/>
    </w:r>
    <w:r w:rsidR="00C5488A" w:rsidRPr="0030024B">
      <w:rPr>
        <w:color w:val="365F91" w:themeColor="accent1" w:themeShade="BF"/>
        <w:sz w:val="20"/>
      </w:rPr>
      <w:instrText xml:space="preserve"> PAGE   \* MERGEFORMAT </w:instrText>
    </w:r>
    <w:r w:rsidR="00C5488A" w:rsidRPr="0030024B">
      <w:rPr>
        <w:color w:val="365F91" w:themeColor="accent1" w:themeShade="BF"/>
        <w:sz w:val="20"/>
      </w:rPr>
      <w:fldChar w:fldCharType="separate"/>
    </w:r>
    <w:r w:rsidR="003F6918">
      <w:rPr>
        <w:noProof/>
        <w:color w:val="365F91" w:themeColor="accent1" w:themeShade="BF"/>
        <w:sz w:val="20"/>
      </w:rPr>
      <w:t>1</w:t>
    </w:r>
    <w:r w:rsidR="00C5488A" w:rsidRPr="0030024B">
      <w:rPr>
        <w:color w:val="365F91" w:themeColor="accent1" w:themeShade="BF"/>
        <w:sz w:val="20"/>
      </w:rPr>
      <w:fldChar w:fldCharType="end"/>
    </w:r>
    <w:r w:rsidR="00C5488A" w:rsidRPr="0030024B">
      <w:rPr>
        <w:color w:val="365F91" w:themeColor="accent1" w:themeShade="BF"/>
        <w:sz w:val="20"/>
      </w:rPr>
      <w:t xml:space="preserve"> of </w:t>
    </w:r>
    <w:r w:rsidR="00C5488A" w:rsidRPr="0030024B">
      <w:rPr>
        <w:color w:val="365F91" w:themeColor="accent1" w:themeShade="BF"/>
        <w:sz w:val="20"/>
      </w:rPr>
      <w:fldChar w:fldCharType="begin"/>
    </w:r>
    <w:r w:rsidR="00C5488A" w:rsidRPr="0030024B">
      <w:rPr>
        <w:color w:val="365F91" w:themeColor="accent1" w:themeShade="BF"/>
        <w:sz w:val="20"/>
      </w:rPr>
      <w:instrText xml:space="preserve"> NUMPAGES   \* MERGEFORMAT </w:instrText>
    </w:r>
    <w:r w:rsidR="00C5488A" w:rsidRPr="0030024B">
      <w:rPr>
        <w:color w:val="365F91" w:themeColor="accent1" w:themeShade="BF"/>
        <w:sz w:val="20"/>
      </w:rPr>
      <w:fldChar w:fldCharType="separate"/>
    </w:r>
    <w:r w:rsidR="003F6918">
      <w:rPr>
        <w:noProof/>
        <w:color w:val="365F91" w:themeColor="accent1" w:themeShade="BF"/>
        <w:sz w:val="20"/>
      </w:rPr>
      <w:t>6</w:t>
    </w:r>
    <w:r w:rsidR="00C5488A" w:rsidRPr="0030024B">
      <w:rPr>
        <w:color w:val="365F91" w:themeColor="accent1" w:themeShade="B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D4075" w14:textId="77777777" w:rsidR="00392571" w:rsidRDefault="00392571" w:rsidP="006F579D">
      <w:pPr>
        <w:spacing w:before="0" w:after="0"/>
      </w:pPr>
      <w:r>
        <w:separator/>
      </w:r>
    </w:p>
  </w:footnote>
  <w:footnote w:type="continuationSeparator" w:id="0">
    <w:p w14:paraId="58A1117F" w14:textId="77777777" w:rsidR="00392571" w:rsidRDefault="00392571" w:rsidP="006F579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9EF8" w14:textId="15480321" w:rsidR="00C5488A" w:rsidRDefault="00775C50" w:rsidP="00775C50">
    <w:pPr>
      <w:pStyle w:val="Header"/>
      <w:rPr>
        <w:rFonts w:cs="Arial"/>
        <w:b/>
        <w:color w:val="365F91" w:themeColor="accent1" w:themeShade="BF"/>
        <w:szCs w:val="24"/>
        <w:lang w:val="en-US"/>
      </w:rPr>
    </w:pPr>
    <w:r w:rsidRPr="00775C50">
      <w:rPr>
        <w:rFonts w:cs="Arial"/>
        <w:b/>
        <w:color w:val="365F91" w:themeColor="accent1" w:themeShade="BF"/>
        <w:szCs w:val="24"/>
        <w:lang w:val="en-US"/>
      </w:rPr>
      <w:t xml:space="preserve">Policy </w:t>
    </w:r>
    <w:r>
      <w:rPr>
        <w:rFonts w:cs="Arial"/>
        <w:b/>
        <w:color w:val="365F91" w:themeColor="accent1" w:themeShade="BF"/>
        <w:szCs w:val="24"/>
        <w:lang w:val="en-US"/>
      </w:rPr>
      <w:t xml:space="preserve">- </w:t>
    </w:r>
    <w:r w:rsidR="008B5012" w:rsidRPr="008B5012">
      <w:rPr>
        <w:rFonts w:cs="Arial"/>
        <w:b/>
        <w:color w:val="365F91" w:themeColor="accent1" w:themeShade="BF"/>
        <w:szCs w:val="24"/>
        <w:lang w:val="en-US"/>
      </w:rPr>
      <w:t>Safeguarding</w:t>
    </w:r>
  </w:p>
  <w:p w14:paraId="3E858DC0" w14:textId="77777777" w:rsidR="00C5488A" w:rsidRPr="003243EB" w:rsidRDefault="00C5488A" w:rsidP="00C5488A">
    <w:pPr>
      <w:pStyle w:val="Header"/>
      <w:pBdr>
        <w:bottom w:val="single" w:sz="8" w:space="1" w:color="365F91" w:themeColor="accent1" w:themeShade="BF"/>
      </w:pBdr>
      <w:jc w:val="right"/>
      <w:rPr>
        <w:rFonts w:cs="Arial"/>
        <w:b/>
        <w:color w:val="365F91" w:themeColor="accent1" w:themeShade="BF"/>
        <w:sz w:val="4"/>
        <w:szCs w:val="4"/>
        <w:lang w:val="en-US"/>
      </w:rPr>
    </w:pPr>
  </w:p>
  <w:p w14:paraId="249BC9C1" w14:textId="77777777" w:rsidR="00C5488A" w:rsidRPr="003243EB" w:rsidRDefault="00C5488A" w:rsidP="00C5488A">
    <w:pPr>
      <w:pStyle w:val="Header"/>
      <w:jc w:val="right"/>
      <w:rPr>
        <w:rFonts w:cs="Arial"/>
        <w:b/>
        <w:color w:val="365F91" w:themeColor="accent1" w:themeShade="BF"/>
        <w:sz w:val="4"/>
        <w:szCs w:val="4"/>
        <w:lang w:val="en-US"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1C28C" w14:textId="110BDF76" w:rsidR="006F579D" w:rsidRDefault="001B2A07" w:rsidP="009A4B8C">
    <w:pPr>
      <w:pStyle w:val="Header"/>
      <w:jc w:val="right"/>
      <w:rPr>
        <w:rFonts w:cs="Arial"/>
        <w:b/>
        <w:color w:val="365F91" w:themeColor="accent1" w:themeShade="BF"/>
        <w:szCs w:val="24"/>
        <w:lang w:val="en-US"/>
      </w:rPr>
    </w:pPr>
    <w:r w:rsidRPr="001B2A07">
      <w:rPr>
        <w:rFonts w:cs="Arial"/>
        <w:b/>
        <w:color w:val="365F91" w:themeColor="accent1" w:themeShade="BF"/>
        <w:szCs w:val="24"/>
        <w:lang w:val="en-US"/>
      </w:rPr>
      <w:t xml:space="preserve">Policy - </w:t>
    </w:r>
    <w:r w:rsidR="008D38BA" w:rsidRPr="008B5012">
      <w:rPr>
        <w:rFonts w:cs="Arial"/>
        <w:b/>
        <w:color w:val="365F91" w:themeColor="accent1" w:themeShade="BF"/>
        <w:szCs w:val="24"/>
        <w:lang w:val="en-US"/>
      </w:rPr>
      <w:t>Safeguarding</w:t>
    </w:r>
  </w:p>
  <w:p w14:paraId="12CF1E9A" w14:textId="77777777" w:rsidR="003243EB" w:rsidRPr="003243EB" w:rsidRDefault="003243EB" w:rsidP="00CA5050">
    <w:pPr>
      <w:pStyle w:val="Header"/>
      <w:pBdr>
        <w:bottom w:val="single" w:sz="8" w:space="1" w:color="365F91" w:themeColor="accent1" w:themeShade="BF"/>
      </w:pBdr>
      <w:jc w:val="right"/>
      <w:rPr>
        <w:rFonts w:cs="Arial"/>
        <w:b/>
        <w:color w:val="365F91" w:themeColor="accent1" w:themeShade="BF"/>
        <w:sz w:val="4"/>
        <w:szCs w:val="4"/>
        <w:lang w:val="en-US"/>
      </w:rPr>
    </w:pPr>
  </w:p>
  <w:p w14:paraId="75C1C28D" w14:textId="77777777" w:rsidR="006F579D" w:rsidRPr="003243EB" w:rsidRDefault="006F579D" w:rsidP="006F579D">
    <w:pPr>
      <w:pStyle w:val="Header"/>
      <w:jc w:val="right"/>
      <w:rPr>
        <w:rFonts w:cs="Arial"/>
        <w:b/>
        <w:color w:val="365F91" w:themeColor="accent1" w:themeShade="BF"/>
        <w:sz w:val="4"/>
        <w:szCs w:val="4"/>
        <w:lang w:val="en-US"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778"/>
    </w:tblGrid>
    <w:tr w:rsidR="00CA5050" w:rsidRPr="00CA5050" w14:paraId="75C1C292" w14:textId="77777777" w:rsidTr="001271B1">
      <w:tc>
        <w:tcPr>
          <w:tcW w:w="4111" w:type="dxa"/>
          <w:tcBorders>
            <w:bottom w:val="single" w:sz="8" w:space="0" w:color="95B3D7" w:themeColor="accent1" w:themeTint="99"/>
          </w:tcBorders>
          <w:shd w:val="clear" w:color="auto" w:fill="auto"/>
          <w:vAlign w:val="center"/>
        </w:tcPr>
        <w:p w14:paraId="75C1C290" w14:textId="5CF28AA2" w:rsidR="00CA5050" w:rsidRPr="001271B1" w:rsidRDefault="008F72AC" w:rsidP="00CA5050">
          <w:pPr>
            <w:spacing w:after="120"/>
            <w:rPr>
              <w:i/>
              <w:color w:val="95B3D7" w:themeColor="accent1" w:themeTint="99"/>
              <w:sz w:val="16"/>
            </w:rPr>
          </w:pPr>
          <w:r>
            <w:rPr>
              <w:noProof/>
            </w:rPr>
            <w:drawing>
              <wp:inline distT="0" distB="0" distL="0" distR="0" wp14:anchorId="5FBD4CA8" wp14:editId="7C32A0C5">
                <wp:extent cx="723900"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5778" w:type="dxa"/>
          <w:shd w:val="clear" w:color="auto" w:fill="auto"/>
          <w:vAlign w:val="center"/>
          <w:hideMark/>
        </w:tcPr>
        <w:p w14:paraId="2D43CB33" w14:textId="72030464" w:rsidR="00CA5050" w:rsidRPr="00CA5050" w:rsidRDefault="00CA5050" w:rsidP="00CA5050">
          <w:pPr>
            <w:pStyle w:val="Heading2"/>
            <w:spacing w:before="60" w:after="60"/>
            <w:jc w:val="right"/>
            <w:outlineLvl w:val="1"/>
            <w:rPr>
              <w:color w:val="FFFFFF" w:themeColor="background1"/>
              <w:sz w:val="28"/>
            </w:rPr>
          </w:pPr>
          <w:r w:rsidRPr="001016F5">
            <w:rPr>
              <w:rFonts w:cs="Arial"/>
              <w:noProof/>
              <w:color w:val="FFFFFF" w:themeColor="background1"/>
              <w:sz w:val="8"/>
              <w:szCs w:val="4"/>
            </w:rPr>
            <mc:AlternateContent>
              <mc:Choice Requires="wps">
                <w:drawing>
                  <wp:anchor distT="0" distB="0" distL="114300" distR="114300" simplePos="0" relativeHeight="251658240" behindDoc="1" locked="0" layoutInCell="1" allowOverlap="1" wp14:anchorId="38CA556B" wp14:editId="70000E8C">
                    <wp:simplePos x="0" y="0"/>
                    <wp:positionH relativeFrom="margin">
                      <wp:posOffset>-27940</wp:posOffset>
                    </wp:positionH>
                    <wp:positionV relativeFrom="paragraph">
                      <wp:posOffset>14605</wp:posOffset>
                    </wp:positionV>
                    <wp:extent cx="3630295" cy="695325"/>
                    <wp:effectExtent l="0" t="0" r="27305" b="28575"/>
                    <wp:wrapNone/>
                    <wp:docPr id="2" name="Rounded Rectangle 2"/>
                    <wp:cNvGraphicFramePr/>
                    <a:graphic xmlns:a="http://schemas.openxmlformats.org/drawingml/2006/main">
                      <a:graphicData uri="http://schemas.microsoft.com/office/word/2010/wordprocessingShape">
                        <wps:wsp>
                          <wps:cNvSpPr/>
                          <wps:spPr>
                            <a:xfrm>
                              <a:off x="0" y="0"/>
                              <a:ext cx="3630304" cy="695325"/>
                            </a:xfrm>
                            <a:prstGeom prst="roundRect">
                              <a:avLst/>
                            </a:prstGeom>
                            <a:solidFill>
                              <a:schemeClr val="accent1">
                                <a:lumMod val="7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498B5C" id="Rounded Rectangle 2" o:spid="_x0000_s1026" style="position:absolute;margin-left:-2.2pt;margin-top:1.15pt;width:285.85pt;height:5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" fillcolor="#365f91 [2404]" strokecolor="#7f7f7f [1612]" strokeweight="1pt">
                    <w10:wrap anchorx="margin"/>
                  </v:roundrect>
                </w:pict>
              </mc:Fallback>
            </mc:AlternateContent>
          </w:r>
          <w:r w:rsidR="00775C50">
            <w:rPr>
              <w:color w:val="FFFFFF" w:themeColor="background1"/>
            </w:rPr>
            <w:t>Policy</w:t>
          </w:r>
          <w:r w:rsidRPr="001016F5">
            <w:rPr>
              <w:color w:val="FFFFFF" w:themeColor="background1"/>
            </w:rPr>
            <w:t xml:space="preserve"> </w:t>
          </w:r>
        </w:p>
        <w:p w14:paraId="75C1C291" w14:textId="1073F6A0" w:rsidR="006F579D" w:rsidRPr="00CA5050" w:rsidRDefault="008B5012" w:rsidP="00775C50">
          <w:pPr>
            <w:pStyle w:val="Heading2"/>
            <w:spacing w:before="60" w:after="60"/>
            <w:jc w:val="right"/>
            <w:outlineLvl w:val="1"/>
            <w:rPr>
              <w:rFonts w:cs="Arial"/>
              <w:b w:val="0"/>
              <w:color w:val="FFFFFF" w:themeColor="background1"/>
              <w:szCs w:val="48"/>
            </w:rPr>
          </w:pPr>
          <w:r>
            <w:rPr>
              <w:color w:val="FFFFFF" w:themeColor="background1"/>
              <w:sz w:val="44"/>
              <w:szCs w:val="36"/>
            </w:rPr>
            <w:t>Safeguarding</w:t>
          </w:r>
        </w:p>
      </w:tc>
    </w:tr>
  </w:tbl>
  <w:p w14:paraId="75C1C294" w14:textId="4ADDA154" w:rsidR="006F579D" w:rsidRPr="006F579D" w:rsidRDefault="006F579D" w:rsidP="006F579D">
    <w:pPr>
      <w:pStyle w:val="Header"/>
      <w:spacing w:before="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739F"/>
    <w:multiLevelType w:val="hybridMultilevel"/>
    <w:tmpl w:val="FA94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65F7A"/>
    <w:multiLevelType w:val="hybridMultilevel"/>
    <w:tmpl w:val="1CA68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4560A"/>
    <w:multiLevelType w:val="hybridMultilevel"/>
    <w:tmpl w:val="F87E96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8F5DFA"/>
    <w:multiLevelType w:val="hybridMultilevel"/>
    <w:tmpl w:val="E056C9F2"/>
    <w:lvl w:ilvl="0" w:tplc="FF4000F0">
      <w:start w:val="1"/>
      <w:numFmt w:val="bullet"/>
      <w:pStyle w:val="ListParagraph"/>
      <w:lvlText w:val=""/>
      <w:lvlJc w:val="left"/>
      <w:pPr>
        <w:ind w:left="1287" w:hanging="360"/>
      </w:pPr>
      <w:rPr>
        <w:rFonts w:ascii="Symbol" w:hAnsi="Symbol" w:hint="default"/>
        <w:color w:val="365F91" w:themeColor="accent1" w:themeShade="BF"/>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41E7B"/>
    <w:multiLevelType w:val="hybridMultilevel"/>
    <w:tmpl w:val="FB0A63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4A3E6D"/>
    <w:multiLevelType w:val="hybridMultilevel"/>
    <w:tmpl w:val="137030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31125F"/>
    <w:multiLevelType w:val="hybridMultilevel"/>
    <w:tmpl w:val="088675DA"/>
    <w:lvl w:ilvl="0" w:tplc="69AEA84A">
      <w:start w:val="1"/>
      <w:numFmt w:val="bullet"/>
      <w:lvlText w:val=""/>
      <w:lvlJc w:val="left"/>
      <w:pPr>
        <w:ind w:left="720" w:hanging="360"/>
      </w:pPr>
      <w:rPr>
        <w:rFonts w:ascii="Symbol" w:hAnsi="Symbol"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0F5492"/>
    <w:multiLevelType w:val="hybridMultilevel"/>
    <w:tmpl w:val="72104D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5A58FD"/>
    <w:multiLevelType w:val="hybridMultilevel"/>
    <w:tmpl w:val="743236AA"/>
    <w:lvl w:ilvl="0" w:tplc="69AEA84A">
      <w:start w:val="1"/>
      <w:numFmt w:val="bullet"/>
      <w:lvlText w:val=""/>
      <w:lvlJc w:val="left"/>
      <w:pPr>
        <w:ind w:left="720" w:hanging="360"/>
      </w:pPr>
      <w:rPr>
        <w:rFonts w:ascii="Symbol" w:hAnsi="Symbol"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9D72AB"/>
    <w:multiLevelType w:val="hybridMultilevel"/>
    <w:tmpl w:val="B394B7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51BCD"/>
    <w:multiLevelType w:val="hybridMultilevel"/>
    <w:tmpl w:val="F2F40A0E"/>
    <w:lvl w:ilvl="0" w:tplc="4C3AABD0">
      <w:start w:val="1"/>
      <w:numFmt w:val="decimal"/>
      <w:pStyle w:val="Numbered"/>
      <w:lvlText w:val="%1."/>
      <w:lvlJc w:val="left"/>
      <w:pPr>
        <w:ind w:left="1004" w:hanging="360"/>
      </w:pPr>
      <w:rPr>
        <w:rFonts w:hint="default"/>
        <w:color w:val="365F91" w:themeColor="accent1" w:themeShade="BF"/>
        <w:sz w:val="24"/>
        <w:szCs w:val="24"/>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63EF1B42"/>
    <w:multiLevelType w:val="hybridMultilevel"/>
    <w:tmpl w:val="F162FCE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6F5B425F"/>
    <w:multiLevelType w:val="hybridMultilevel"/>
    <w:tmpl w:val="D7CA15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B52898"/>
    <w:multiLevelType w:val="hybridMultilevel"/>
    <w:tmpl w:val="FAD8FC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630751"/>
    <w:multiLevelType w:val="hybridMultilevel"/>
    <w:tmpl w:val="BB52F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D874BA"/>
    <w:multiLevelType w:val="hybridMultilevel"/>
    <w:tmpl w:val="2300FCF4"/>
    <w:lvl w:ilvl="0" w:tplc="9510EBF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9A04B8"/>
    <w:multiLevelType w:val="hybridMultilevel"/>
    <w:tmpl w:val="48CC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DF771D"/>
    <w:multiLevelType w:val="hybridMultilevel"/>
    <w:tmpl w:val="ACE456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8"/>
  </w:num>
  <w:num w:numId="4">
    <w:abstractNumId w:val="6"/>
  </w:num>
  <w:num w:numId="5">
    <w:abstractNumId w:val="3"/>
  </w:num>
  <w:num w:numId="6">
    <w:abstractNumId w:val="10"/>
  </w:num>
  <w:num w:numId="7">
    <w:abstractNumId w:val="1"/>
  </w:num>
  <w:num w:numId="8">
    <w:abstractNumId w:val="11"/>
  </w:num>
  <w:num w:numId="9">
    <w:abstractNumId w:val="5"/>
  </w:num>
  <w:num w:numId="10">
    <w:abstractNumId w:val="7"/>
  </w:num>
  <w:num w:numId="11">
    <w:abstractNumId w:val="2"/>
  </w:num>
  <w:num w:numId="12">
    <w:abstractNumId w:val="12"/>
  </w:num>
  <w:num w:numId="13">
    <w:abstractNumId w:val="9"/>
  </w:num>
  <w:num w:numId="14">
    <w:abstractNumId w:val="13"/>
  </w:num>
  <w:num w:numId="15">
    <w:abstractNumId w:val="17"/>
  </w:num>
  <w:num w:numId="16">
    <w:abstractNumId w:val="4"/>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evenAndOddHeaders/>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3sbQ0NTAwtjC1MLZU0lEKTi0uzszPAykwrAUAf6FLtywAAAA="/>
  </w:docVars>
  <w:rsids>
    <w:rsidRoot w:val="007F6FCD"/>
    <w:rsid w:val="00011869"/>
    <w:rsid w:val="00013F94"/>
    <w:rsid w:val="00057217"/>
    <w:rsid w:val="00084240"/>
    <w:rsid w:val="000A2949"/>
    <w:rsid w:val="000A54BE"/>
    <w:rsid w:val="000C41DA"/>
    <w:rsid w:val="000C64BE"/>
    <w:rsid w:val="000D1AAA"/>
    <w:rsid w:val="001016F5"/>
    <w:rsid w:val="001228A8"/>
    <w:rsid w:val="001271B1"/>
    <w:rsid w:val="00131A6D"/>
    <w:rsid w:val="0014287C"/>
    <w:rsid w:val="00171B2A"/>
    <w:rsid w:val="00184B96"/>
    <w:rsid w:val="001B2A07"/>
    <w:rsid w:val="001D50CB"/>
    <w:rsid w:val="002137F9"/>
    <w:rsid w:val="00257207"/>
    <w:rsid w:val="00265B41"/>
    <w:rsid w:val="002804AD"/>
    <w:rsid w:val="002A1257"/>
    <w:rsid w:val="002B61BC"/>
    <w:rsid w:val="002F6D7D"/>
    <w:rsid w:val="0030024B"/>
    <w:rsid w:val="00304098"/>
    <w:rsid w:val="003243EB"/>
    <w:rsid w:val="0034540A"/>
    <w:rsid w:val="00390060"/>
    <w:rsid w:val="00392571"/>
    <w:rsid w:val="003E6F2C"/>
    <w:rsid w:val="003F6918"/>
    <w:rsid w:val="00510B32"/>
    <w:rsid w:val="005245F9"/>
    <w:rsid w:val="00530F22"/>
    <w:rsid w:val="00536C2D"/>
    <w:rsid w:val="00545E96"/>
    <w:rsid w:val="00553194"/>
    <w:rsid w:val="00581141"/>
    <w:rsid w:val="005857A1"/>
    <w:rsid w:val="005B3697"/>
    <w:rsid w:val="005C30C5"/>
    <w:rsid w:val="005D4BCB"/>
    <w:rsid w:val="005E6CD6"/>
    <w:rsid w:val="00604D47"/>
    <w:rsid w:val="00610906"/>
    <w:rsid w:val="006302B4"/>
    <w:rsid w:val="00655227"/>
    <w:rsid w:val="00657AC5"/>
    <w:rsid w:val="006706CB"/>
    <w:rsid w:val="0067404C"/>
    <w:rsid w:val="006919B2"/>
    <w:rsid w:val="006B2C7C"/>
    <w:rsid w:val="006B7055"/>
    <w:rsid w:val="006F579D"/>
    <w:rsid w:val="00724DFA"/>
    <w:rsid w:val="007279B2"/>
    <w:rsid w:val="00775C50"/>
    <w:rsid w:val="007913AC"/>
    <w:rsid w:val="007A49FB"/>
    <w:rsid w:val="007B0E8C"/>
    <w:rsid w:val="007B6872"/>
    <w:rsid w:val="007F6FCD"/>
    <w:rsid w:val="00826E67"/>
    <w:rsid w:val="00857ED5"/>
    <w:rsid w:val="008B5012"/>
    <w:rsid w:val="008D38BA"/>
    <w:rsid w:val="008F72AC"/>
    <w:rsid w:val="008F7458"/>
    <w:rsid w:val="0090091C"/>
    <w:rsid w:val="00915E78"/>
    <w:rsid w:val="009518C5"/>
    <w:rsid w:val="0095383C"/>
    <w:rsid w:val="009926C7"/>
    <w:rsid w:val="009A438D"/>
    <w:rsid w:val="009A4B8C"/>
    <w:rsid w:val="009A7B1C"/>
    <w:rsid w:val="009C5E38"/>
    <w:rsid w:val="009D2ADB"/>
    <w:rsid w:val="00A619D1"/>
    <w:rsid w:val="00AE7AD1"/>
    <w:rsid w:val="00B12D59"/>
    <w:rsid w:val="00B22C98"/>
    <w:rsid w:val="00B45A8B"/>
    <w:rsid w:val="00B5791B"/>
    <w:rsid w:val="00BA3040"/>
    <w:rsid w:val="00BB3D3F"/>
    <w:rsid w:val="00BE0AD2"/>
    <w:rsid w:val="00BE5F74"/>
    <w:rsid w:val="00BE75AB"/>
    <w:rsid w:val="00BF7C4D"/>
    <w:rsid w:val="00C5488A"/>
    <w:rsid w:val="00C80A7D"/>
    <w:rsid w:val="00CA5050"/>
    <w:rsid w:val="00CB7EE4"/>
    <w:rsid w:val="00CC4C3F"/>
    <w:rsid w:val="00CE3132"/>
    <w:rsid w:val="00CE703B"/>
    <w:rsid w:val="00D20003"/>
    <w:rsid w:val="00D3714E"/>
    <w:rsid w:val="00DB3428"/>
    <w:rsid w:val="00DB5DF8"/>
    <w:rsid w:val="00DD6C09"/>
    <w:rsid w:val="00DE28EC"/>
    <w:rsid w:val="00DF1A73"/>
    <w:rsid w:val="00E0488D"/>
    <w:rsid w:val="00E113C2"/>
    <w:rsid w:val="00E377BD"/>
    <w:rsid w:val="00E86521"/>
    <w:rsid w:val="00F00DBE"/>
    <w:rsid w:val="00F742C5"/>
    <w:rsid w:val="00FF2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5C1C1C1"/>
  <w15:docId w15:val="{4F3DDCB4-C9DB-43BB-AC18-CCE4E731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79D"/>
    <w:pPr>
      <w:spacing w:before="60" w:after="60" w:line="240" w:lineRule="auto"/>
    </w:pPr>
    <w:rPr>
      <w:rFonts w:ascii="Arial" w:hAnsi="Arial"/>
      <w:sz w:val="24"/>
    </w:rPr>
  </w:style>
  <w:style w:type="paragraph" w:styleId="Heading1">
    <w:name w:val="heading 1"/>
    <w:basedOn w:val="Normal"/>
    <w:next w:val="Normal"/>
    <w:link w:val="Heading1Char"/>
    <w:uiPriority w:val="9"/>
    <w:qFormat/>
    <w:rsid w:val="006F579D"/>
    <w:pPr>
      <w:keepNext/>
      <w:keepLines/>
      <w:spacing w:before="240" w:after="120"/>
      <w:outlineLvl w:val="0"/>
    </w:pPr>
    <w:rPr>
      <w:rFonts w:eastAsiaTheme="majorEastAsia" w:cstheme="majorBidi"/>
      <w:b/>
      <w:bCs/>
      <w:color w:val="365F91" w:themeColor="accent1" w:themeShade="BF"/>
      <w:sz w:val="44"/>
      <w:szCs w:val="28"/>
    </w:rPr>
  </w:style>
  <w:style w:type="paragraph" w:styleId="Heading2">
    <w:name w:val="heading 2"/>
    <w:basedOn w:val="Normal"/>
    <w:next w:val="Normal"/>
    <w:link w:val="Heading2Char"/>
    <w:uiPriority w:val="9"/>
    <w:unhideWhenUsed/>
    <w:qFormat/>
    <w:rsid w:val="003243EB"/>
    <w:pPr>
      <w:keepNext/>
      <w:keepLines/>
      <w:spacing w:before="120" w:after="120"/>
      <w:outlineLvl w:val="1"/>
    </w:pPr>
    <w:rPr>
      <w:rFonts w:eastAsiaTheme="majorEastAsia" w:cstheme="majorBidi"/>
      <w:b/>
      <w:color w:val="365F91" w:themeColor="accent1" w:themeShade="BF"/>
      <w:sz w:val="36"/>
      <w:szCs w:val="26"/>
    </w:rPr>
  </w:style>
  <w:style w:type="paragraph" w:styleId="Heading3">
    <w:name w:val="heading 3"/>
    <w:basedOn w:val="Normal"/>
    <w:next w:val="Normal"/>
    <w:link w:val="Heading3Char"/>
    <w:uiPriority w:val="9"/>
    <w:unhideWhenUsed/>
    <w:qFormat/>
    <w:rsid w:val="0090091C"/>
    <w:pPr>
      <w:keepNext/>
      <w:keepLines/>
      <w:spacing w:before="120" w:after="120"/>
      <w:outlineLvl w:val="2"/>
    </w:pPr>
    <w:rPr>
      <w:rFonts w:eastAsiaTheme="majorEastAsia" w:cstheme="majorBidi"/>
      <w:b/>
      <w:color w:val="365F91" w:themeColor="accent1" w:themeShade="B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79D"/>
    <w:pPr>
      <w:tabs>
        <w:tab w:val="center" w:pos="4513"/>
        <w:tab w:val="right" w:pos="9026"/>
      </w:tabs>
      <w:spacing w:after="0"/>
    </w:pPr>
  </w:style>
  <w:style w:type="character" w:customStyle="1" w:styleId="HeaderChar">
    <w:name w:val="Header Char"/>
    <w:basedOn w:val="DefaultParagraphFont"/>
    <w:link w:val="Header"/>
    <w:uiPriority w:val="99"/>
    <w:rsid w:val="006F579D"/>
  </w:style>
  <w:style w:type="paragraph" w:styleId="Footer">
    <w:name w:val="footer"/>
    <w:basedOn w:val="Normal"/>
    <w:link w:val="FooterChar"/>
    <w:unhideWhenUsed/>
    <w:rsid w:val="006F579D"/>
    <w:pPr>
      <w:tabs>
        <w:tab w:val="center" w:pos="4513"/>
        <w:tab w:val="right" w:pos="9026"/>
      </w:tabs>
      <w:spacing w:after="0"/>
    </w:pPr>
  </w:style>
  <w:style w:type="character" w:customStyle="1" w:styleId="FooterChar">
    <w:name w:val="Footer Char"/>
    <w:basedOn w:val="DefaultParagraphFont"/>
    <w:link w:val="Footer"/>
    <w:rsid w:val="006F579D"/>
  </w:style>
  <w:style w:type="table" w:styleId="TableGrid">
    <w:name w:val="Table Grid"/>
    <w:basedOn w:val="TableNormal"/>
    <w:uiPriority w:val="59"/>
    <w:rsid w:val="006F579D"/>
    <w:pPr>
      <w:spacing w:after="0" w:line="240" w:lineRule="auto"/>
    </w:pPr>
    <w:rPr>
      <w:rFonts w:ascii="Calibri" w:eastAsia="Times New Roman" w:hAnsi="Calibri" w:cs="Times New Roma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7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79D"/>
    <w:rPr>
      <w:rFonts w:ascii="Tahoma" w:hAnsi="Tahoma" w:cs="Tahoma"/>
      <w:sz w:val="16"/>
      <w:szCs w:val="16"/>
    </w:rPr>
  </w:style>
  <w:style w:type="character" w:customStyle="1" w:styleId="Heading1Char">
    <w:name w:val="Heading 1 Char"/>
    <w:basedOn w:val="DefaultParagraphFont"/>
    <w:link w:val="Heading1"/>
    <w:uiPriority w:val="9"/>
    <w:rsid w:val="006F579D"/>
    <w:rPr>
      <w:rFonts w:ascii="Arial" w:eastAsiaTheme="majorEastAsia" w:hAnsi="Arial" w:cstheme="majorBidi"/>
      <w:b/>
      <w:bCs/>
      <w:color w:val="365F91" w:themeColor="accent1" w:themeShade="BF"/>
      <w:sz w:val="44"/>
      <w:szCs w:val="28"/>
    </w:rPr>
  </w:style>
  <w:style w:type="paragraph" w:styleId="NormalWeb">
    <w:name w:val="Normal (Web)"/>
    <w:basedOn w:val="Normal"/>
    <w:uiPriority w:val="99"/>
    <w:unhideWhenUsed/>
    <w:rsid w:val="00013F94"/>
    <w:pPr>
      <w:spacing w:before="100" w:beforeAutospacing="1" w:after="100" w:afterAutospacing="1"/>
    </w:pPr>
    <w:rPr>
      <w:rFonts w:ascii="Times New Roman" w:eastAsia="Times New Roman" w:hAnsi="Times New Roman" w:cs="Times New Roman"/>
      <w:szCs w:val="24"/>
    </w:rPr>
  </w:style>
  <w:style w:type="character" w:customStyle="1" w:styleId="Heading2Char">
    <w:name w:val="Heading 2 Char"/>
    <w:basedOn w:val="DefaultParagraphFont"/>
    <w:link w:val="Heading2"/>
    <w:uiPriority w:val="9"/>
    <w:rsid w:val="003243EB"/>
    <w:rPr>
      <w:rFonts w:ascii="Arial" w:eastAsiaTheme="majorEastAsia" w:hAnsi="Arial" w:cstheme="majorBidi"/>
      <w:b/>
      <w:color w:val="365F91" w:themeColor="accent1" w:themeShade="BF"/>
      <w:sz w:val="36"/>
      <w:szCs w:val="26"/>
    </w:rPr>
  </w:style>
  <w:style w:type="character" w:customStyle="1" w:styleId="Heading3Char">
    <w:name w:val="Heading 3 Char"/>
    <w:basedOn w:val="DefaultParagraphFont"/>
    <w:link w:val="Heading3"/>
    <w:uiPriority w:val="9"/>
    <w:rsid w:val="0090091C"/>
    <w:rPr>
      <w:rFonts w:ascii="Arial" w:eastAsiaTheme="majorEastAsia" w:hAnsi="Arial" w:cstheme="majorBidi"/>
      <w:b/>
      <w:color w:val="365F91" w:themeColor="accent1" w:themeShade="BF"/>
      <w:sz w:val="28"/>
      <w:szCs w:val="24"/>
    </w:rPr>
  </w:style>
  <w:style w:type="paragraph" w:styleId="ListParagraph">
    <w:name w:val="List Paragraph"/>
    <w:aliases w:val="Bullets"/>
    <w:basedOn w:val="Normal"/>
    <w:link w:val="ListParagraphChar"/>
    <w:uiPriority w:val="34"/>
    <w:qFormat/>
    <w:rsid w:val="0030024B"/>
    <w:pPr>
      <w:numPr>
        <w:numId w:val="5"/>
      </w:numPr>
      <w:ind w:left="850" w:hanging="425"/>
      <w:contextualSpacing/>
    </w:pPr>
  </w:style>
  <w:style w:type="paragraph" w:customStyle="1" w:styleId="Numbered">
    <w:name w:val="Numbered"/>
    <w:basedOn w:val="ListParagraph"/>
    <w:link w:val="NumberedChar"/>
    <w:qFormat/>
    <w:rsid w:val="0030024B"/>
    <w:pPr>
      <w:numPr>
        <w:numId w:val="6"/>
      </w:numPr>
      <w:ind w:left="850" w:hanging="425"/>
    </w:pPr>
  </w:style>
  <w:style w:type="character" w:customStyle="1" w:styleId="ListParagraphChar">
    <w:name w:val="List Paragraph Char"/>
    <w:aliases w:val="Bullets Char"/>
    <w:basedOn w:val="DefaultParagraphFont"/>
    <w:link w:val="ListParagraph"/>
    <w:uiPriority w:val="34"/>
    <w:rsid w:val="0030024B"/>
    <w:rPr>
      <w:rFonts w:ascii="Arial" w:hAnsi="Arial"/>
      <w:sz w:val="24"/>
    </w:rPr>
  </w:style>
  <w:style w:type="character" w:customStyle="1" w:styleId="NumberedChar">
    <w:name w:val="Numbered Char"/>
    <w:basedOn w:val="ListParagraphChar"/>
    <w:link w:val="Numbered"/>
    <w:rsid w:val="0030024B"/>
    <w:rPr>
      <w:rFonts w:ascii="Arial" w:hAnsi="Arial"/>
      <w:sz w:val="24"/>
    </w:rPr>
  </w:style>
  <w:style w:type="paragraph" w:styleId="Quote">
    <w:name w:val="Quote"/>
    <w:basedOn w:val="Normal"/>
    <w:next w:val="Normal"/>
    <w:link w:val="QuoteChar"/>
    <w:uiPriority w:val="29"/>
    <w:qFormat/>
    <w:rsid w:val="0030024B"/>
    <w:rPr>
      <w:i/>
      <w:iCs/>
      <w:color w:val="365F91" w:themeColor="accent1" w:themeShade="BF"/>
    </w:rPr>
  </w:style>
  <w:style w:type="character" w:customStyle="1" w:styleId="QuoteChar">
    <w:name w:val="Quote Char"/>
    <w:basedOn w:val="DefaultParagraphFont"/>
    <w:link w:val="Quote"/>
    <w:uiPriority w:val="29"/>
    <w:rsid w:val="0030024B"/>
    <w:rPr>
      <w:rFonts w:ascii="Arial" w:hAnsi="Arial"/>
      <w:i/>
      <w:iCs/>
      <w:color w:val="365F91" w:themeColor="accent1" w:themeShade="BF"/>
      <w:sz w:val="24"/>
    </w:rPr>
  </w:style>
  <w:style w:type="character" w:styleId="Hyperlink">
    <w:name w:val="Hyperlink"/>
    <w:basedOn w:val="DefaultParagraphFont"/>
    <w:uiPriority w:val="99"/>
    <w:unhideWhenUsed/>
    <w:rsid w:val="008B5012"/>
    <w:rPr>
      <w:color w:val="0000FF" w:themeColor="hyperlink"/>
      <w:u w:val="single"/>
    </w:rPr>
  </w:style>
  <w:style w:type="paragraph" w:styleId="Revision">
    <w:name w:val="Revision"/>
    <w:hidden/>
    <w:uiPriority w:val="99"/>
    <w:semiHidden/>
    <w:rsid w:val="002804AD"/>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00664">
      <w:bodyDiv w:val="1"/>
      <w:marLeft w:val="0"/>
      <w:marRight w:val="0"/>
      <w:marTop w:val="0"/>
      <w:marBottom w:val="0"/>
      <w:divBdr>
        <w:top w:val="none" w:sz="0" w:space="0" w:color="auto"/>
        <w:left w:val="none" w:sz="0" w:space="0" w:color="auto"/>
        <w:bottom w:val="none" w:sz="0" w:space="0" w:color="auto"/>
        <w:right w:val="none" w:sz="0" w:space="0" w:color="auto"/>
      </w:divBdr>
    </w:div>
    <w:div w:id="252280111">
      <w:bodyDiv w:val="1"/>
      <w:marLeft w:val="0"/>
      <w:marRight w:val="0"/>
      <w:marTop w:val="0"/>
      <w:marBottom w:val="0"/>
      <w:divBdr>
        <w:top w:val="none" w:sz="0" w:space="0" w:color="auto"/>
        <w:left w:val="none" w:sz="0" w:space="0" w:color="auto"/>
        <w:bottom w:val="none" w:sz="0" w:space="0" w:color="auto"/>
        <w:right w:val="none" w:sz="0" w:space="0" w:color="auto"/>
      </w:divBdr>
    </w:div>
    <w:div w:id="548689669">
      <w:bodyDiv w:val="1"/>
      <w:marLeft w:val="0"/>
      <w:marRight w:val="0"/>
      <w:marTop w:val="0"/>
      <w:marBottom w:val="0"/>
      <w:divBdr>
        <w:top w:val="none" w:sz="0" w:space="0" w:color="auto"/>
        <w:left w:val="none" w:sz="0" w:space="0" w:color="auto"/>
        <w:bottom w:val="none" w:sz="0" w:space="0" w:color="auto"/>
        <w:right w:val="none" w:sz="0" w:space="0" w:color="auto"/>
      </w:divBdr>
    </w:div>
    <w:div w:id="1554921472">
      <w:bodyDiv w:val="1"/>
      <w:marLeft w:val="0"/>
      <w:marRight w:val="0"/>
      <w:marTop w:val="0"/>
      <w:marBottom w:val="0"/>
      <w:divBdr>
        <w:top w:val="none" w:sz="0" w:space="0" w:color="auto"/>
        <w:left w:val="none" w:sz="0" w:space="0" w:color="auto"/>
        <w:bottom w:val="none" w:sz="0" w:space="0" w:color="auto"/>
        <w:right w:val="none" w:sz="0" w:space="0" w:color="auto"/>
      </w:divBdr>
      <w:divsChild>
        <w:div w:id="1720323862">
          <w:marLeft w:val="0"/>
          <w:marRight w:val="0"/>
          <w:marTop w:val="0"/>
          <w:marBottom w:val="0"/>
          <w:divBdr>
            <w:top w:val="none" w:sz="0" w:space="0" w:color="auto"/>
            <w:left w:val="none" w:sz="0" w:space="0" w:color="auto"/>
            <w:bottom w:val="none" w:sz="0" w:space="0" w:color="auto"/>
            <w:right w:val="none" w:sz="0" w:space="0" w:color="auto"/>
          </w:divBdr>
          <w:divsChild>
            <w:div w:id="557518441">
              <w:marLeft w:val="0"/>
              <w:marRight w:val="0"/>
              <w:marTop w:val="0"/>
              <w:marBottom w:val="0"/>
              <w:divBdr>
                <w:top w:val="none" w:sz="0" w:space="0" w:color="auto"/>
                <w:left w:val="none" w:sz="0" w:space="0" w:color="auto"/>
                <w:bottom w:val="none" w:sz="0" w:space="0" w:color="auto"/>
                <w:right w:val="none" w:sz="0" w:space="0" w:color="auto"/>
              </w:divBdr>
              <w:divsChild>
                <w:div w:id="134683741">
                  <w:marLeft w:val="0"/>
                  <w:marRight w:val="0"/>
                  <w:marTop w:val="0"/>
                  <w:marBottom w:val="0"/>
                  <w:divBdr>
                    <w:top w:val="none" w:sz="0" w:space="0" w:color="auto"/>
                    <w:left w:val="none" w:sz="0" w:space="0" w:color="auto"/>
                    <w:bottom w:val="none" w:sz="0" w:space="0" w:color="auto"/>
                    <w:right w:val="none" w:sz="0" w:space="0" w:color="auto"/>
                  </w:divBdr>
                  <w:divsChild>
                    <w:div w:id="569342201">
                      <w:marLeft w:val="0"/>
                      <w:marRight w:val="0"/>
                      <w:marTop w:val="0"/>
                      <w:marBottom w:val="0"/>
                      <w:divBdr>
                        <w:top w:val="none" w:sz="0" w:space="0" w:color="auto"/>
                        <w:left w:val="none" w:sz="0" w:space="0" w:color="auto"/>
                        <w:bottom w:val="none" w:sz="0" w:space="0" w:color="auto"/>
                        <w:right w:val="none" w:sz="0" w:space="0" w:color="auto"/>
                      </w:divBdr>
                      <w:divsChild>
                        <w:div w:id="958338717">
                          <w:marLeft w:val="0"/>
                          <w:marRight w:val="0"/>
                          <w:marTop w:val="332"/>
                          <w:marBottom w:val="375"/>
                          <w:divBdr>
                            <w:top w:val="none" w:sz="0" w:space="0" w:color="auto"/>
                            <w:left w:val="none" w:sz="0" w:space="0" w:color="auto"/>
                            <w:bottom w:val="none" w:sz="0" w:space="0" w:color="auto"/>
                            <w:right w:val="none" w:sz="0" w:space="0" w:color="auto"/>
                          </w:divBdr>
                          <w:divsChild>
                            <w:div w:id="1155101886">
                              <w:marLeft w:val="0"/>
                              <w:marRight w:val="0"/>
                              <w:marTop w:val="0"/>
                              <w:marBottom w:val="0"/>
                              <w:divBdr>
                                <w:top w:val="none" w:sz="0" w:space="0" w:color="auto"/>
                                <w:left w:val="none" w:sz="0" w:space="0" w:color="auto"/>
                                <w:bottom w:val="none" w:sz="0" w:space="0" w:color="auto"/>
                                <w:right w:val="none" w:sz="0" w:space="0" w:color="auto"/>
                              </w:divBdr>
                              <w:divsChild>
                                <w:div w:id="73087602">
                                  <w:marLeft w:val="0"/>
                                  <w:marRight w:val="0"/>
                                  <w:marTop w:val="0"/>
                                  <w:marBottom w:val="0"/>
                                  <w:divBdr>
                                    <w:top w:val="none" w:sz="0" w:space="0" w:color="auto"/>
                                    <w:left w:val="none" w:sz="0" w:space="0" w:color="auto"/>
                                    <w:bottom w:val="none" w:sz="0" w:space="0" w:color="auto"/>
                                    <w:right w:val="none" w:sz="0" w:space="0" w:color="auto"/>
                                  </w:divBdr>
                                  <w:divsChild>
                                    <w:div w:id="195999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36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692A0-B6BE-43EF-825E-56B49E4BF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jane.sandford</dc:creator>
  <cp:lastModifiedBy>Nicole Rivers</cp:lastModifiedBy>
  <cp:revision>2</cp:revision>
  <cp:lastPrinted>2016-04-27T10:43:00Z</cp:lastPrinted>
  <dcterms:created xsi:type="dcterms:W3CDTF">2019-02-27T14:12:00Z</dcterms:created>
  <dcterms:modified xsi:type="dcterms:W3CDTF">2019-02-27T14:12:00Z</dcterms:modified>
</cp:coreProperties>
</file>